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D63" w:rsidRDefault="004A70D7" w:rsidP="004A70D7">
      <w:pPr>
        <w:spacing w:after="0" w:line="240" w:lineRule="auto"/>
        <w:rPr>
          <w:rFonts w:ascii="Arial Narrow" w:hAnsi="Arial Narrow"/>
        </w:rPr>
      </w:pPr>
      <w:r>
        <w:rPr>
          <w:rFonts w:ascii="Arial Narrow" w:hAnsi="Arial Narrow"/>
        </w:rPr>
        <w:t>IN THE HIGH COURT OF SOUTH AFRICA</w:t>
      </w:r>
    </w:p>
    <w:p w:rsidR="004A70D7" w:rsidRDefault="004A70D7" w:rsidP="004A70D7">
      <w:pPr>
        <w:spacing w:after="0" w:line="240" w:lineRule="auto"/>
        <w:rPr>
          <w:rFonts w:ascii="Arial Narrow" w:hAnsi="Arial Narrow"/>
        </w:rPr>
      </w:pPr>
      <w:r>
        <w:rPr>
          <w:rFonts w:ascii="Arial Narrow" w:hAnsi="Arial Narrow"/>
        </w:rPr>
        <w:t>EASTERN CAPE DIVISION, GRAHAMSTOWN</w:t>
      </w:r>
    </w:p>
    <w:p w:rsidR="004A70D7" w:rsidRDefault="004A70D7" w:rsidP="004A70D7">
      <w:pPr>
        <w:spacing w:after="0" w:line="240" w:lineRule="auto"/>
        <w:rPr>
          <w:rFonts w:ascii="Arial Narrow" w:hAnsi="Arial Narrow"/>
        </w:rPr>
      </w:pPr>
    </w:p>
    <w:p w:rsidR="004A70D7" w:rsidRDefault="004A70D7" w:rsidP="004A70D7">
      <w:pPr>
        <w:spacing w:after="0" w:line="240" w:lineRule="auto"/>
        <w:jc w:val="right"/>
        <w:rPr>
          <w:rFonts w:ascii="Arial Narrow" w:hAnsi="Arial Narrow"/>
        </w:rPr>
      </w:pPr>
      <w:r>
        <w:rPr>
          <w:rFonts w:ascii="Arial Narrow" w:hAnsi="Arial Narrow"/>
        </w:rPr>
        <w:t>CASE NO: CA&amp;R 155/2017</w:t>
      </w:r>
    </w:p>
    <w:p w:rsidR="004A70D7" w:rsidRDefault="004A70D7" w:rsidP="004A70D7">
      <w:pPr>
        <w:spacing w:after="0" w:line="240" w:lineRule="auto"/>
        <w:jc w:val="right"/>
        <w:rPr>
          <w:rFonts w:ascii="Arial Narrow" w:hAnsi="Arial Narrow"/>
        </w:rPr>
      </w:pPr>
      <w:r>
        <w:rPr>
          <w:rFonts w:ascii="Arial Narrow" w:hAnsi="Arial Narrow"/>
        </w:rPr>
        <w:t>Date heard: 22 November 2017</w:t>
      </w:r>
    </w:p>
    <w:p w:rsidR="004A70D7" w:rsidRDefault="004A70D7" w:rsidP="004A70D7">
      <w:pPr>
        <w:spacing w:after="0" w:line="240" w:lineRule="auto"/>
        <w:jc w:val="right"/>
        <w:rPr>
          <w:rFonts w:ascii="Arial Narrow" w:hAnsi="Arial Narrow"/>
        </w:rPr>
      </w:pPr>
      <w:r>
        <w:rPr>
          <w:rFonts w:ascii="Arial Narrow" w:hAnsi="Arial Narrow"/>
        </w:rPr>
        <w:t>Date delivered: 30 January 2018</w:t>
      </w:r>
    </w:p>
    <w:p w:rsidR="004A70D7" w:rsidRDefault="004A70D7" w:rsidP="004A70D7">
      <w:pPr>
        <w:spacing w:after="0" w:line="240" w:lineRule="auto"/>
        <w:jc w:val="both"/>
        <w:rPr>
          <w:rFonts w:ascii="Arial Narrow" w:hAnsi="Arial Narrow"/>
        </w:rPr>
      </w:pPr>
    </w:p>
    <w:p w:rsidR="004A70D7" w:rsidRDefault="004A70D7" w:rsidP="004A70D7">
      <w:pPr>
        <w:spacing w:after="0" w:line="240" w:lineRule="auto"/>
        <w:jc w:val="both"/>
        <w:rPr>
          <w:rFonts w:ascii="Arial Narrow" w:hAnsi="Arial Narrow"/>
        </w:rPr>
      </w:pPr>
      <w:r>
        <w:rPr>
          <w:rFonts w:ascii="Arial Narrow" w:hAnsi="Arial Narrow"/>
        </w:rPr>
        <w:t>In the matter between</w:t>
      </w:r>
    </w:p>
    <w:p w:rsidR="0054474D" w:rsidRDefault="0054474D" w:rsidP="004A70D7">
      <w:pPr>
        <w:spacing w:after="0" w:line="240" w:lineRule="auto"/>
        <w:jc w:val="both"/>
        <w:rPr>
          <w:rFonts w:ascii="Arial Narrow" w:hAnsi="Arial Narrow"/>
        </w:rPr>
      </w:pPr>
    </w:p>
    <w:p w:rsidR="004A70D7" w:rsidRDefault="004A70D7" w:rsidP="004A70D7">
      <w:pPr>
        <w:spacing w:after="0" w:line="240" w:lineRule="auto"/>
        <w:jc w:val="both"/>
        <w:rPr>
          <w:rFonts w:ascii="Arial Narrow" w:hAnsi="Arial Narrow"/>
        </w:rPr>
      </w:pPr>
    </w:p>
    <w:p w:rsidR="004A70D7" w:rsidRDefault="004A70D7" w:rsidP="004A70D7">
      <w:pPr>
        <w:spacing w:after="0" w:line="240" w:lineRule="auto"/>
        <w:jc w:val="both"/>
        <w:rPr>
          <w:rFonts w:ascii="Arial Narrow" w:hAnsi="Arial Narrow"/>
        </w:rPr>
      </w:pPr>
      <w:r>
        <w:rPr>
          <w:rFonts w:ascii="Arial Narrow" w:hAnsi="Arial Narrow"/>
        </w:rPr>
        <w:t>NTOMBIZIKILE LUZIPHO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4474D">
        <w:rPr>
          <w:rFonts w:ascii="Arial Narrow" w:hAnsi="Arial Narrow"/>
        </w:rPr>
        <w:t xml:space="preserve">           </w:t>
      </w:r>
      <w:r>
        <w:rPr>
          <w:rFonts w:ascii="Arial Narrow" w:hAnsi="Arial Narrow"/>
        </w:rPr>
        <w:t>Appellant</w:t>
      </w:r>
    </w:p>
    <w:p w:rsidR="004A70D7" w:rsidRDefault="004A70D7" w:rsidP="004A70D7">
      <w:pPr>
        <w:spacing w:after="0" w:line="240" w:lineRule="auto"/>
        <w:jc w:val="both"/>
        <w:rPr>
          <w:rFonts w:ascii="Arial Narrow" w:hAnsi="Arial Narrow"/>
        </w:rPr>
      </w:pPr>
    </w:p>
    <w:p w:rsidR="0054474D" w:rsidRDefault="0054474D" w:rsidP="004A70D7">
      <w:pPr>
        <w:spacing w:after="0" w:line="240" w:lineRule="auto"/>
        <w:jc w:val="both"/>
        <w:rPr>
          <w:rFonts w:ascii="Arial Narrow" w:hAnsi="Arial Narrow"/>
        </w:rPr>
      </w:pPr>
    </w:p>
    <w:p w:rsidR="004A70D7" w:rsidRDefault="004A70D7" w:rsidP="004A70D7">
      <w:pPr>
        <w:spacing w:after="0" w:line="240" w:lineRule="auto"/>
        <w:jc w:val="both"/>
        <w:rPr>
          <w:rFonts w:ascii="Arial Narrow" w:hAnsi="Arial Narrow"/>
        </w:rPr>
      </w:pPr>
      <w:r>
        <w:rPr>
          <w:rFonts w:ascii="Arial Narrow" w:hAnsi="Arial Narrow"/>
        </w:rPr>
        <w:t>And</w:t>
      </w:r>
    </w:p>
    <w:p w:rsidR="004A70D7" w:rsidRDefault="004A70D7" w:rsidP="004A70D7">
      <w:pPr>
        <w:spacing w:after="0" w:line="240" w:lineRule="auto"/>
        <w:jc w:val="both"/>
        <w:rPr>
          <w:rFonts w:ascii="Arial Narrow" w:hAnsi="Arial Narrow"/>
        </w:rPr>
      </w:pPr>
    </w:p>
    <w:p w:rsidR="0054474D" w:rsidRDefault="0054474D" w:rsidP="004A70D7">
      <w:pPr>
        <w:spacing w:after="0" w:line="240" w:lineRule="auto"/>
        <w:jc w:val="both"/>
        <w:rPr>
          <w:rFonts w:ascii="Arial Narrow" w:hAnsi="Arial Narrow"/>
        </w:rPr>
      </w:pPr>
    </w:p>
    <w:p w:rsidR="004A70D7" w:rsidRDefault="004A70D7" w:rsidP="004A70D7">
      <w:pPr>
        <w:spacing w:after="0" w:line="240" w:lineRule="auto"/>
        <w:jc w:val="both"/>
        <w:rPr>
          <w:rFonts w:ascii="Arial Narrow" w:hAnsi="Arial Narrow"/>
        </w:rPr>
      </w:pPr>
      <w:r>
        <w:rPr>
          <w:rFonts w:ascii="Arial Narrow" w:hAnsi="Arial Narrow"/>
        </w:rPr>
        <w:t>THE STATE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4474D">
        <w:rPr>
          <w:rFonts w:ascii="Arial Narrow" w:hAnsi="Arial Narrow"/>
        </w:rPr>
        <w:t xml:space="preserve">      </w:t>
      </w:r>
      <w:r>
        <w:rPr>
          <w:rFonts w:ascii="Arial Narrow" w:hAnsi="Arial Narrow"/>
        </w:rPr>
        <w:t>Respondent</w:t>
      </w:r>
    </w:p>
    <w:p w:rsidR="004A70D7" w:rsidRDefault="004A70D7" w:rsidP="004A70D7">
      <w:pPr>
        <w:spacing w:after="0" w:line="240" w:lineRule="auto"/>
        <w:jc w:val="both"/>
        <w:rPr>
          <w:rFonts w:ascii="Arial Narrow" w:hAnsi="Arial Narrow"/>
        </w:rPr>
      </w:pPr>
    </w:p>
    <w:p w:rsidR="004A70D7" w:rsidRDefault="004A70D7" w:rsidP="004A70D7">
      <w:pPr>
        <w:pBdr>
          <w:bottom w:val="single" w:sz="4" w:space="1" w:color="auto"/>
        </w:pBdr>
        <w:spacing w:after="0" w:line="240" w:lineRule="auto"/>
        <w:jc w:val="both"/>
        <w:rPr>
          <w:rFonts w:ascii="Arial Narrow" w:hAnsi="Arial Narrow"/>
        </w:rPr>
      </w:pPr>
    </w:p>
    <w:p w:rsidR="004A70D7" w:rsidRDefault="004A70D7" w:rsidP="004A70D7">
      <w:pPr>
        <w:spacing w:after="0" w:line="240" w:lineRule="auto"/>
        <w:jc w:val="both"/>
        <w:rPr>
          <w:rFonts w:ascii="Arial Narrow" w:hAnsi="Arial Narrow"/>
        </w:rPr>
      </w:pPr>
    </w:p>
    <w:p w:rsidR="004A70D7" w:rsidRDefault="004A70D7" w:rsidP="004A70D7">
      <w:pPr>
        <w:spacing w:after="0" w:line="240" w:lineRule="auto"/>
        <w:jc w:val="center"/>
        <w:rPr>
          <w:rFonts w:ascii="Arial Narrow" w:hAnsi="Arial Narrow"/>
        </w:rPr>
      </w:pPr>
      <w:r>
        <w:rPr>
          <w:rFonts w:ascii="Arial Narrow" w:hAnsi="Arial Narrow"/>
        </w:rPr>
        <w:t>JUDGMENT</w:t>
      </w:r>
    </w:p>
    <w:p w:rsidR="004A70D7" w:rsidRDefault="004A70D7" w:rsidP="004A70D7">
      <w:pPr>
        <w:pBdr>
          <w:bottom w:val="single" w:sz="4" w:space="1" w:color="auto"/>
        </w:pBdr>
        <w:spacing w:after="0" w:line="240" w:lineRule="auto"/>
        <w:jc w:val="both"/>
        <w:rPr>
          <w:rFonts w:ascii="Arial Narrow" w:hAnsi="Arial Narrow"/>
        </w:rPr>
      </w:pPr>
    </w:p>
    <w:p w:rsidR="004A70D7" w:rsidRDefault="004A70D7" w:rsidP="004A70D7">
      <w:pPr>
        <w:spacing w:after="0" w:line="240" w:lineRule="auto"/>
        <w:jc w:val="both"/>
        <w:rPr>
          <w:rFonts w:ascii="Arial Narrow" w:hAnsi="Arial Narrow"/>
        </w:rPr>
      </w:pPr>
    </w:p>
    <w:p w:rsidR="004A70D7" w:rsidRDefault="004A70D7" w:rsidP="004A70D7">
      <w:pPr>
        <w:spacing w:after="0" w:line="240" w:lineRule="auto"/>
        <w:jc w:val="both"/>
        <w:rPr>
          <w:rFonts w:ascii="Arial Narrow" w:hAnsi="Arial Narrow"/>
        </w:rPr>
      </w:pPr>
      <w:r w:rsidRPr="0054474D">
        <w:rPr>
          <w:rFonts w:ascii="Arial Narrow" w:hAnsi="Arial Narrow"/>
          <w:b/>
        </w:rPr>
        <w:t>GOOSEN, J</w:t>
      </w:r>
      <w:r>
        <w:rPr>
          <w:rFonts w:ascii="Arial Narrow" w:hAnsi="Arial Narrow"/>
        </w:rPr>
        <w:t>.</w:t>
      </w:r>
    </w:p>
    <w:p w:rsidR="004A70D7" w:rsidRDefault="004A70D7" w:rsidP="004A70D7">
      <w:pPr>
        <w:spacing w:after="0" w:line="240" w:lineRule="auto"/>
        <w:jc w:val="both"/>
        <w:rPr>
          <w:rFonts w:ascii="Arial Narrow" w:hAnsi="Arial Narrow"/>
        </w:rPr>
      </w:pPr>
    </w:p>
    <w:p w:rsidR="00F720D4" w:rsidRPr="00376102" w:rsidRDefault="003B07B8" w:rsidP="00376102">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 xml:space="preserve">The appellant was </w:t>
      </w:r>
      <w:r w:rsidR="00F720D4" w:rsidRPr="00376102">
        <w:rPr>
          <w:rFonts w:ascii="Arial Narrow" w:hAnsi="Arial Narrow"/>
          <w:sz w:val="28"/>
          <w:szCs w:val="28"/>
        </w:rPr>
        <w:t>convicted in the regional court, P</w:t>
      </w:r>
      <w:r w:rsidRPr="00376102">
        <w:rPr>
          <w:rFonts w:ascii="Arial Narrow" w:hAnsi="Arial Narrow"/>
          <w:sz w:val="28"/>
          <w:szCs w:val="28"/>
        </w:rPr>
        <w:t xml:space="preserve">ort Elizabeth </w:t>
      </w:r>
      <w:r w:rsidR="00F720D4" w:rsidRPr="00376102">
        <w:rPr>
          <w:rFonts w:ascii="Arial Narrow" w:hAnsi="Arial Narrow"/>
          <w:sz w:val="28"/>
          <w:szCs w:val="28"/>
        </w:rPr>
        <w:t xml:space="preserve">on </w:t>
      </w:r>
      <w:r w:rsidRPr="00376102">
        <w:rPr>
          <w:rFonts w:ascii="Arial Narrow" w:hAnsi="Arial Narrow"/>
          <w:sz w:val="28"/>
          <w:szCs w:val="28"/>
        </w:rPr>
        <w:t xml:space="preserve">22 counts involving </w:t>
      </w:r>
      <w:r w:rsidRPr="00376102">
        <w:rPr>
          <w:rFonts w:ascii="Arial Narrow" w:hAnsi="Arial Narrow"/>
          <w:i/>
          <w:sz w:val="28"/>
          <w:szCs w:val="28"/>
        </w:rPr>
        <w:t>inter-alia</w:t>
      </w:r>
      <w:r w:rsidRPr="00376102">
        <w:rPr>
          <w:rFonts w:ascii="Arial Narrow" w:hAnsi="Arial Narrow"/>
          <w:sz w:val="28"/>
          <w:szCs w:val="28"/>
        </w:rPr>
        <w:t xml:space="preserve"> fraud and attempted fraud and statutory </w:t>
      </w:r>
      <w:r w:rsidR="0079753D">
        <w:rPr>
          <w:rFonts w:ascii="Arial Narrow" w:hAnsi="Arial Narrow"/>
          <w:sz w:val="28"/>
          <w:szCs w:val="28"/>
        </w:rPr>
        <w:t>offences</w:t>
      </w:r>
      <w:r w:rsidRPr="00376102">
        <w:rPr>
          <w:rFonts w:ascii="Arial Narrow" w:hAnsi="Arial Narrow"/>
          <w:sz w:val="28"/>
          <w:szCs w:val="28"/>
        </w:rPr>
        <w:t xml:space="preserve"> relating to the registration of fictitious births and deaths </w:t>
      </w:r>
      <w:r w:rsidR="00F720D4" w:rsidRPr="00376102">
        <w:rPr>
          <w:rFonts w:ascii="Arial Narrow" w:hAnsi="Arial Narrow"/>
          <w:sz w:val="28"/>
          <w:szCs w:val="28"/>
        </w:rPr>
        <w:t>in terms of the Births and Deaths</w:t>
      </w:r>
      <w:r w:rsidRPr="00376102">
        <w:rPr>
          <w:rFonts w:ascii="Arial Narrow" w:hAnsi="Arial Narrow"/>
          <w:sz w:val="28"/>
          <w:szCs w:val="28"/>
        </w:rPr>
        <w:t xml:space="preserve"> Registration Act 51 of 1992 and the Immigration Act 68 of 1997. She was sentenced to an effective eight years imprisonment. The a</w:t>
      </w:r>
      <w:r w:rsidR="00F720D4" w:rsidRPr="00376102">
        <w:rPr>
          <w:rFonts w:ascii="Arial Narrow" w:hAnsi="Arial Narrow"/>
          <w:sz w:val="28"/>
          <w:szCs w:val="28"/>
        </w:rPr>
        <w:t>ppellant had pleaded guilty to four counts (counts 19 -</w:t>
      </w:r>
      <w:r w:rsidRPr="00376102">
        <w:rPr>
          <w:rFonts w:ascii="Arial Narrow" w:hAnsi="Arial Narrow"/>
          <w:sz w:val="28"/>
          <w:szCs w:val="28"/>
        </w:rPr>
        <w:t xml:space="preserve"> 22 on the charge sheet), which related to the fictitious registration of the birth and death of </w:t>
      </w:r>
      <w:r w:rsidR="00F720D4" w:rsidRPr="00376102">
        <w:rPr>
          <w:rFonts w:ascii="Arial Narrow" w:hAnsi="Arial Narrow"/>
          <w:sz w:val="28"/>
          <w:szCs w:val="28"/>
        </w:rPr>
        <w:t>“Luzipho Mthetho”</w:t>
      </w:r>
      <w:r w:rsidRPr="00376102">
        <w:rPr>
          <w:rFonts w:ascii="Arial Narrow" w:hAnsi="Arial Narrow"/>
          <w:sz w:val="28"/>
          <w:szCs w:val="28"/>
        </w:rPr>
        <w:t xml:space="preserve"> and the fraudulent claiming of insurance benefits in relation the</w:t>
      </w:r>
      <w:r w:rsidR="00F720D4" w:rsidRPr="00376102">
        <w:rPr>
          <w:rFonts w:ascii="Arial Narrow" w:hAnsi="Arial Narrow"/>
          <w:sz w:val="28"/>
          <w:szCs w:val="28"/>
        </w:rPr>
        <w:t>reto. For these four offences t</w:t>
      </w:r>
      <w:r w:rsidRPr="00376102">
        <w:rPr>
          <w:rFonts w:ascii="Arial Narrow" w:hAnsi="Arial Narrow"/>
          <w:sz w:val="28"/>
          <w:szCs w:val="28"/>
        </w:rPr>
        <w:t>he appellant was sentenced to 8 years</w:t>
      </w:r>
      <w:r w:rsidR="00F720D4" w:rsidRPr="00376102">
        <w:rPr>
          <w:rFonts w:ascii="Arial Narrow" w:hAnsi="Arial Narrow"/>
          <w:sz w:val="28"/>
          <w:szCs w:val="28"/>
        </w:rPr>
        <w:t>’</w:t>
      </w:r>
      <w:r w:rsidRPr="00376102">
        <w:rPr>
          <w:rFonts w:ascii="Arial Narrow" w:hAnsi="Arial Narrow"/>
          <w:sz w:val="28"/>
          <w:szCs w:val="28"/>
        </w:rPr>
        <w:t xml:space="preserve"> imprisonment. </w:t>
      </w:r>
    </w:p>
    <w:p w:rsidR="00F720D4" w:rsidRPr="00376102" w:rsidRDefault="00F720D4" w:rsidP="00376102">
      <w:pPr>
        <w:pStyle w:val="ListParagraph"/>
        <w:spacing w:after="0" w:line="360" w:lineRule="auto"/>
        <w:jc w:val="both"/>
        <w:rPr>
          <w:rFonts w:ascii="Arial Narrow" w:hAnsi="Arial Narrow"/>
          <w:sz w:val="28"/>
          <w:szCs w:val="28"/>
        </w:rPr>
      </w:pPr>
    </w:p>
    <w:p w:rsidR="003B07B8" w:rsidRPr="00376102" w:rsidRDefault="003B07B8" w:rsidP="00376102">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The appeal is directed against the appellant’s conviction and sentence in respect of the remaining counts for which she was convicted. The appeal against sent</w:t>
      </w:r>
      <w:r w:rsidR="00F720D4" w:rsidRPr="00376102">
        <w:rPr>
          <w:rFonts w:ascii="Arial Narrow" w:hAnsi="Arial Narrow"/>
          <w:sz w:val="28"/>
          <w:szCs w:val="28"/>
        </w:rPr>
        <w:t>ence in respect of counts 19 to</w:t>
      </w:r>
      <w:r w:rsidRPr="00376102">
        <w:rPr>
          <w:rFonts w:ascii="Arial Narrow" w:hAnsi="Arial Narrow"/>
          <w:sz w:val="28"/>
          <w:szCs w:val="28"/>
        </w:rPr>
        <w:t xml:space="preserve"> 22 is conditional upon the success of the appeal against conviction on counts 1 to 18.</w:t>
      </w:r>
    </w:p>
    <w:p w:rsidR="00F720D4" w:rsidRPr="00376102" w:rsidRDefault="00F720D4" w:rsidP="00376102">
      <w:pPr>
        <w:pStyle w:val="ListParagraph"/>
        <w:spacing w:after="0" w:line="360" w:lineRule="auto"/>
        <w:jc w:val="both"/>
        <w:rPr>
          <w:rFonts w:ascii="Arial Narrow" w:hAnsi="Arial Narrow"/>
          <w:sz w:val="28"/>
          <w:szCs w:val="28"/>
        </w:rPr>
      </w:pPr>
    </w:p>
    <w:p w:rsidR="003B07B8" w:rsidRPr="00376102" w:rsidRDefault="003B07B8" w:rsidP="00376102">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The appellant was employed as a Senior Administration Clerk in the registry section of the Department of Home Affairs regional office in Port Elizabeth. The offences for which the appellant was convicted are alleged to have been comm</w:t>
      </w:r>
      <w:r w:rsidR="00F720D4" w:rsidRPr="00376102">
        <w:rPr>
          <w:rFonts w:ascii="Arial Narrow" w:hAnsi="Arial Narrow"/>
          <w:sz w:val="28"/>
          <w:szCs w:val="28"/>
        </w:rPr>
        <w:t>itted in the period between May</w:t>
      </w:r>
      <w:r w:rsidRPr="00376102">
        <w:rPr>
          <w:rFonts w:ascii="Arial Narrow" w:hAnsi="Arial Narrow"/>
          <w:sz w:val="28"/>
          <w:szCs w:val="28"/>
        </w:rPr>
        <w:t xml:space="preserve"> 2008 and December 2008. The appellant was initially charged, together with Martha</w:t>
      </w:r>
      <w:r w:rsidR="00F720D4" w:rsidRPr="00376102">
        <w:rPr>
          <w:rFonts w:ascii="Arial Narrow" w:hAnsi="Arial Narrow"/>
          <w:sz w:val="28"/>
          <w:szCs w:val="28"/>
        </w:rPr>
        <w:t>lindi</w:t>
      </w:r>
      <w:r w:rsidRPr="00376102">
        <w:rPr>
          <w:rFonts w:ascii="Arial Narrow" w:hAnsi="Arial Narrow"/>
          <w:sz w:val="28"/>
          <w:szCs w:val="28"/>
        </w:rPr>
        <w:t xml:space="preserve"> </w:t>
      </w:r>
      <w:r w:rsidR="00F720D4" w:rsidRPr="00376102">
        <w:rPr>
          <w:rFonts w:ascii="Arial Narrow" w:hAnsi="Arial Narrow"/>
          <w:sz w:val="28"/>
          <w:szCs w:val="28"/>
        </w:rPr>
        <w:t>Hanabe</w:t>
      </w:r>
      <w:r w:rsidRPr="00376102">
        <w:rPr>
          <w:rFonts w:ascii="Arial Narrow" w:hAnsi="Arial Narrow"/>
          <w:sz w:val="28"/>
          <w:szCs w:val="28"/>
        </w:rPr>
        <w:t xml:space="preserve">, a fellow employee in the Department of Home Affairs. </w:t>
      </w:r>
      <w:r w:rsidR="00F720D4" w:rsidRPr="00376102">
        <w:rPr>
          <w:rFonts w:ascii="Arial Narrow" w:hAnsi="Arial Narrow"/>
          <w:sz w:val="28"/>
          <w:szCs w:val="28"/>
        </w:rPr>
        <w:t>Hanabe</w:t>
      </w:r>
      <w:r w:rsidRPr="00376102">
        <w:rPr>
          <w:rFonts w:ascii="Arial Narrow" w:hAnsi="Arial Narrow"/>
          <w:sz w:val="28"/>
          <w:szCs w:val="28"/>
        </w:rPr>
        <w:t xml:space="preserve"> entered a plea of guilty, resulting in a separation of trials. In the separated trial the appellant was charged, together with one </w:t>
      </w:r>
      <w:r w:rsidR="00F720D4" w:rsidRPr="00376102">
        <w:rPr>
          <w:rFonts w:ascii="Arial Narrow" w:hAnsi="Arial Narrow"/>
          <w:sz w:val="28"/>
          <w:szCs w:val="28"/>
        </w:rPr>
        <w:t>Ntombizandile Roloti.</w:t>
      </w:r>
      <w:r w:rsidRPr="00376102">
        <w:rPr>
          <w:rFonts w:ascii="Arial Narrow" w:hAnsi="Arial Narrow"/>
          <w:sz w:val="28"/>
          <w:szCs w:val="28"/>
        </w:rPr>
        <w:t xml:space="preserve"> The appellant was charged with 22 counts (counts 1 – 22) an</w:t>
      </w:r>
      <w:r w:rsidR="00F720D4" w:rsidRPr="00376102">
        <w:rPr>
          <w:rFonts w:ascii="Arial Narrow" w:hAnsi="Arial Narrow"/>
          <w:sz w:val="28"/>
          <w:szCs w:val="28"/>
        </w:rPr>
        <w:t>d a further 12 counts (counts 23 – 34) jointly with Roloti</w:t>
      </w:r>
      <w:r w:rsidRPr="00376102">
        <w:rPr>
          <w:rFonts w:ascii="Arial Narrow" w:hAnsi="Arial Narrow"/>
          <w:sz w:val="28"/>
          <w:szCs w:val="28"/>
        </w:rPr>
        <w:t xml:space="preserve">. At the </w:t>
      </w:r>
      <w:r w:rsidR="00F720D4" w:rsidRPr="00376102">
        <w:rPr>
          <w:rFonts w:ascii="Arial Narrow" w:hAnsi="Arial Narrow"/>
          <w:sz w:val="28"/>
          <w:szCs w:val="28"/>
        </w:rPr>
        <w:t xml:space="preserve">close of the prosecution case. </w:t>
      </w:r>
      <w:r w:rsidR="00E8099F" w:rsidRPr="00376102">
        <w:rPr>
          <w:rFonts w:ascii="Arial Narrow" w:hAnsi="Arial Narrow"/>
          <w:sz w:val="28"/>
          <w:szCs w:val="28"/>
        </w:rPr>
        <w:t>The</w:t>
      </w:r>
      <w:r w:rsidRPr="00376102">
        <w:rPr>
          <w:rFonts w:ascii="Arial Narrow" w:hAnsi="Arial Narrow"/>
          <w:sz w:val="28"/>
          <w:szCs w:val="28"/>
        </w:rPr>
        <w:t xml:space="preserve"> appellant was discharged, in terms of section 174 of the Criminal Procedure Act 51 of 1977, on counts 23 – 34. Her co-accused was acquitted on these counts at the conclusion of the matter.</w:t>
      </w:r>
    </w:p>
    <w:p w:rsidR="00F720D4" w:rsidRPr="00376102" w:rsidRDefault="00F720D4" w:rsidP="00376102">
      <w:pPr>
        <w:pStyle w:val="ListParagraph"/>
        <w:spacing w:after="0" w:line="360" w:lineRule="auto"/>
        <w:jc w:val="both"/>
        <w:rPr>
          <w:rFonts w:ascii="Arial Narrow" w:hAnsi="Arial Narrow"/>
          <w:sz w:val="28"/>
          <w:szCs w:val="28"/>
        </w:rPr>
      </w:pPr>
    </w:p>
    <w:p w:rsidR="003B07B8" w:rsidRPr="00376102" w:rsidRDefault="003B07B8" w:rsidP="00376102">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In relation to the 22 counts for whic</w:t>
      </w:r>
      <w:r w:rsidR="00F720D4" w:rsidRPr="00376102">
        <w:rPr>
          <w:rFonts w:ascii="Arial Narrow" w:hAnsi="Arial Narrow"/>
          <w:sz w:val="28"/>
          <w:szCs w:val="28"/>
        </w:rPr>
        <w:t>h the appellant was convicted t</w:t>
      </w:r>
      <w:r w:rsidRPr="00376102">
        <w:rPr>
          <w:rFonts w:ascii="Arial Narrow" w:hAnsi="Arial Narrow"/>
          <w:sz w:val="28"/>
          <w:szCs w:val="28"/>
        </w:rPr>
        <w:t xml:space="preserve">he state’s case was that the appellant and </w:t>
      </w:r>
      <w:r w:rsidR="00F720D4" w:rsidRPr="00376102">
        <w:rPr>
          <w:rFonts w:ascii="Arial Narrow" w:hAnsi="Arial Narrow"/>
          <w:sz w:val="28"/>
          <w:szCs w:val="28"/>
        </w:rPr>
        <w:t>Hanabe</w:t>
      </w:r>
      <w:r w:rsidRPr="00376102">
        <w:rPr>
          <w:rFonts w:ascii="Arial Narrow" w:hAnsi="Arial Narrow"/>
          <w:sz w:val="28"/>
          <w:szCs w:val="28"/>
        </w:rPr>
        <w:t xml:space="preserve"> acted in common purpose to commit the specified offences. The </w:t>
      </w:r>
      <w:r w:rsidRPr="00376102">
        <w:rPr>
          <w:rFonts w:ascii="Arial Narrow" w:hAnsi="Arial Narrow"/>
          <w:i/>
          <w:sz w:val="28"/>
          <w:szCs w:val="28"/>
        </w:rPr>
        <w:t>modus operandi</w:t>
      </w:r>
      <w:r w:rsidRPr="00376102">
        <w:rPr>
          <w:rFonts w:ascii="Arial Narrow" w:hAnsi="Arial Narrow"/>
          <w:sz w:val="28"/>
          <w:szCs w:val="28"/>
        </w:rPr>
        <w:t xml:space="preserve"> employed by the appellant and </w:t>
      </w:r>
      <w:r w:rsidR="00F720D4" w:rsidRPr="00376102">
        <w:rPr>
          <w:rFonts w:ascii="Arial Narrow" w:hAnsi="Arial Narrow"/>
          <w:sz w:val="28"/>
          <w:szCs w:val="28"/>
        </w:rPr>
        <w:t>Hanabe</w:t>
      </w:r>
      <w:r w:rsidRPr="00376102">
        <w:rPr>
          <w:rFonts w:ascii="Arial Narrow" w:hAnsi="Arial Narrow"/>
          <w:sz w:val="28"/>
          <w:szCs w:val="28"/>
        </w:rPr>
        <w:t>, which was admitted by the appell</w:t>
      </w:r>
      <w:r w:rsidR="00F720D4" w:rsidRPr="00376102">
        <w:rPr>
          <w:rFonts w:ascii="Arial Narrow" w:hAnsi="Arial Narrow"/>
          <w:sz w:val="28"/>
          <w:szCs w:val="28"/>
        </w:rPr>
        <w:t>ant in relation to counts 19 to 22</w:t>
      </w:r>
      <w:r w:rsidRPr="00376102">
        <w:rPr>
          <w:rFonts w:ascii="Arial Narrow" w:hAnsi="Arial Narrow"/>
          <w:sz w:val="28"/>
          <w:szCs w:val="28"/>
        </w:rPr>
        <w:t xml:space="preserve"> involved the following:</w:t>
      </w:r>
      <w:r w:rsidR="00F720D4" w:rsidRPr="00376102">
        <w:rPr>
          <w:rFonts w:ascii="Arial Narrow" w:hAnsi="Arial Narrow"/>
          <w:sz w:val="28"/>
          <w:szCs w:val="28"/>
        </w:rPr>
        <w:t xml:space="preserve"> T</w:t>
      </w:r>
      <w:r w:rsidRPr="00376102">
        <w:rPr>
          <w:rFonts w:ascii="Arial Narrow" w:hAnsi="Arial Narrow"/>
          <w:sz w:val="28"/>
          <w:szCs w:val="28"/>
        </w:rPr>
        <w:t xml:space="preserve">hey utilised the assigned user identity of </w:t>
      </w:r>
      <w:r w:rsidR="00F720D4" w:rsidRPr="00376102">
        <w:rPr>
          <w:rFonts w:ascii="Arial Narrow" w:hAnsi="Arial Narrow"/>
          <w:sz w:val="28"/>
          <w:szCs w:val="28"/>
        </w:rPr>
        <w:t>Hanabe</w:t>
      </w:r>
      <w:r w:rsidRPr="00376102">
        <w:rPr>
          <w:rFonts w:ascii="Arial Narrow" w:hAnsi="Arial Narrow"/>
          <w:sz w:val="28"/>
          <w:szCs w:val="28"/>
        </w:rPr>
        <w:t xml:space="preserve"> </w:t>
      </w:r>
      <w:r w:rsidR="00F720D4" w:rsidRPr="00376102">
        <w:rPr>
          <w:rFonts w:ascii="Arial Narrow" w:hAnsi="Arial Narrow"/>
          <w:sz w:val="28"/>
          <w:szCs w:val="28"/>
        </w:rPr>
        <w:t xml:space="preserve">which </w:t>
      </w:r>
      <w:r w:rsidRPr="00376102">
        <w:rPr>
          <w:rFonts w:ascii="Arial Narrow" w:hAnsi="Arial Narrow"/>
          <w:sz w:val="28"/>
          <w:szCs w:val="28"/>
        </w:rPr>
        <w:t xml:space="preserve">granted access to the computer system of the Department to register fictitious births; a fictitious identity number for the “mother” and “father” was utilised to process the registration of a birth thereby creating a “child”; they thereafter personally or through an agent </w:t>
      </w:r>
      <w:r w:rsidR="00F720D4" w:rsidRPr="00376102">
        <w:rPr>
          <w:rFonts w:ascii="Arial Narrow" w:hAnsi="Arial Narrow"/>
          <w:sz w:val="28"/>
          <w:szCs w:val="28"/>
        </w:rPr>
        <w:t>took out</w:t>
      </w:r>
      <w:r w:rsidRPr="00376102">
        <w:rPr>
          <w:rFonts w:ascii="Arial Narrow" w:hAnsi="Arial Narrow"/>
          <w:sz w:val="28"/>
          <w:szCs w:val="28"/>
        </w:rPr>
        <w:t xml:space="preserve"> policies with various insurance companies to cover the</w:t>
      </w:r>
      <w:r w:rsidR="00F720D4" w:rsidRPr="00376102">
        <w:rPr>
          <w:rFonts w:ascii="Arial Narrow" w:hAnsi="Arial Narrow"/>
          <w:sz w:val="28"/>
          <w:szCs w:val="28"/>
        </w:rPr>
        <w:t xml:space="preserve"> life of the fictitious child</w:t>
      </w:r>
      <w:r w:rsidRPr="00376102">
        <w:rPr>
          <w:rFonts w:ascii="Arial Narrow" w:hAnsi="Arial Narrow"/>
          <w:sz w:val="28"/>
          <w:szCs w:val="28"/>
        </w:rPr>
        <w:t>; they subsequently processed and registered the “</w:t>
      </w:r>
      <w:r w:rsidR="00F720D4" w:rsidRPr="00376102">
        <w:rPr>
          <w:rFonts w:ascii="Arial Narrow" w:hAnsi="Arial Narrow"/>
          <w:sz w:val="28"/>
          <w:szCs w:val="28"/>
        </w:rPr>
        <w:t>death</w:t>
      </w:r>
      <w:r w:rsidRPr="00376102">
        <w:rPr>
          <w:rFonts w:ascii="Arial Narrow" w:hAnsi="Arial Narrow"/>
          <w:sz w:val="28"/>
          <w:szCs w:val="28"/>
        </w:rPr>
        <w:t xml:space="preserve">” of the fictitious child; thereafter they submitted claims against the insurance companies by supplying false police reports or mortuary references and a notification of death. As a result they were paid </w:t>
      </w:r>
      <w:r w:rsidR="002D4AB9" w:rsidRPr="00376102">
        <w:rPr>
          <w:rFonts w:ascii="Arial Narrow" w:hAnsi="Arial Narrow"/>
          <w:sz w:val="28"/>
          <w:szCs w:val="28"/>
        </w:rPr>
        <w:t>the benefits of the insurance policies.</w:t>
      </w:r>
    </w:p>
    <w:p w:rsidR="002D4AB9" w:rsidRPr="00376102" w:rsidRDefault="002D4AB9" w:rsidP="00376102">
      <w:pPr>
        <w:pStyle w:val="ListParagraph"/>
        <w:spacing w:after="0" w:line="360" w:lineRule="auto"/>
        <w:jc w:val="both"/>
        <w:rPr>
          <w:rFonts w:ascii="Arial Narrow" w:hAnsi="Arial Narrow"/>
          <w:sz w:val="28"/>
          <w:szCs w:val="28"/>
        </w:rPr>
      </w:pPr>
    </w:p>
    <w:p w:rsidR="003B07B8" w:rsidRPr="00376102" w:rsidRDefault="003B07B8" w:rsidP="00376102">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 xml:space="preserve">As indicated the appellant entered a plea of guilty in relation to those charges, which related to the creation of the “child” </w:t>
      </w:r>
      <w:r w:rsidR="002D4AB9" w:rsidRPr="00376102">
        <w:rPr>
          <w:rFonts w:ascii="Arial Narrow" w:hAnsi="Arial Narrow"/>
          <w:sz w:val="28"/>
          <w:szCs w:val="28"/>
        </w:rPr>
        <w:t>Luzipho Mthetho</w:t>
      </w:r>
      <w:r w:rsidRPr="00376102">
        <w:rPr>
          <w:rFonts w:ascii="Arial Narrow" w:hAnsi="Arial Narrow"/>
          <w:sz w:val="28"/>
          <w:szCs w:val="28"/>
        </w:rPr>
        <w:t>.</w:t>
      </w:r>
      <w:r w:rsidR="002D4AB9" w:rsidRPr="00376102">
        <w:rPr>
          <w:rFonts w:ascii="Arial Narrow" w:hAnsi="Arial Narrow"/>
          <w:sz w:val="28"/>
          <w:szCs w:val="28"/>
        </w:rPr>
        <w:t xml:space="preserve"> In relation to these charges the s </w:t>
      </w:r>
      <w:r w:rsidRPr="00376102">
        <w:rPr>
          <w:rFonts w:ascii="Arial Narrow" w:hAnsi="Arial Narrow"/>
          <w:sz w:val="28"/>
          <w:szCs w:val="28"/>
        </w:rPr>
        <w:t xml:space="preserve">220 admissions made record the facts foundational to the modus </w:t>
      </w:r>
      <w:r w:rsidRPr="00376102">
        <w:rPr>
          <w:rFonts w:ascii="Arial Narrow" w:hAnsi="Arial Narrow"/>
          <w:i/>
          <w:sz w:val="28"/>
          <w:szCs w:val="28"/>
        </w:rPr>
        <w:t>operandi</w:t>
      </w:r>
      <w:r w:rsidRPr="00376102">
        <w:rPr>
          <w:rFonts w:ascii="Arial Narrow" w:hAnsi="Arial Narrow"/>
          <w:sz w:val="28"/>
          <w:szCs w:val="28"/>
        </w:rPr>
        <w:t xml:space="preserve"> described above. The 22 counts, with which the appellant was charged may, for convenience, be grouped into five groups, each “group” relating to the creation of a particular false identity and the consequent fraudulent conduct. The appellant denied that she was in any manner involved in the creation of the o</w:t>
      </w:r>
      <w:r w:rsidR="002D4AB9" w:rsidRPr="00376102">
        <w:rPr>
          <w:rFonts w:ascii="Arial Narrow" w:hAnsi="Arial Narrow"/>
          <w:sz w:val="28"/>
          <w:szCs w:val="28"/>
        </w:rPr>
        <w:t>ther four false identities and the</w:t>
      </w:r>
      <w:r w:rsidRPr="00376102">
        <w:rPr>
          <w:rFonts w:ascii="Arial Narrow" w:hAnsi="Arial Narrow"/>
          <w:sz w:val="28"/>
          <w:szCs w:val="28"/>
        </w:rPr>
        <w:t xml:space="preserve"> further criminal conduct relevant thereto. In relation to these four “groups”</w:t>
      </w:r>
      <w:r w:rsidR="002D4AB9" w:rsidRPr="00376102">
        <w:rPr>
          <w:rFonts w:ascii="Arial Narrow" w:hAnsi="Arial Narrow"/>
          <w:sz w:val="28"/>
          <w:szCs w:val="28"/>
        </w:rPr>
        <w:t xml:space="preserve"> of charges it</w:t>
      </w:r>
      <w:r w:rsidRPr="00376102">
        <w:rPr>
          <w:rFonts w:ascii="Arial Narrow" w:hAnsi="Arial Narrow"/>
          <w:sz w:val="28"/>
          <w:szCs w:val="28"/>
        </w:rPr>
        <w:t xml:space="preserve"> was the appellant’s case that </w:t>
      </w:r>
      <w:r w:rsidR="00F720D4" w:rsidRPr="00376102">
        <w:rPr>
          <w:rFonts w:ascii="Arial Narrow" w:hAnsi="Arial Narrow"/>
          <w:sz w:val="28"/>
          <w:szCs w:val="28"/>
        </w:rPr>
        <w:t>Hanabe</w:t>
      </w:r>
      <w:r w:rsidRPr="00376102">
        <w:rPr>
          <w:rFonts w:ascii="Arial Narrow" w:hAnsi="Arial Narrow"/>
          <w:sz w:val="28"/>
          <w:szCs w:val="28"/>
        </w:rPr>
        <w:t xml:space="preserve"> was solely responsible and that she had no knowledge of the unlawful conduct.</w:t>
      </w:r>
    </w:p>
    <w:p w:rsidR="002D4AB9" w:rsidRPr="00376102" w:rsidRDefault="002D4AB9" w:rsidP="00376102">
      <w:pPr>
        <w:pStyle w:val="ListParagraph"/>
        <w:spacing w:after="0" w:line="360" w:lineRule="auto"/>
        <w:jc w:val="both"/>
        <w:rPr>
          <w:rFonts w:ascii="Arial Narrow" w:hAnsi="Arial Narrow"/>
          <w:sz w:val="28"/>
          <w:szCs w:val="28"/>
        </w:rPr>
      </w:pPr>
    </w:p>
    <w:p w:rsidR="003B07B8" w:rsidRPr="00376102" w:rsidRDefault="003B07B8" w:rsidP="00376102">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 xml:space="preserve">The state led the evidence of two witnesses relevant to </w:t>
      </w:r>
      <w:r w:rsidR="002D4AB9" w:rsidRPr="00376102">
        <w:rPr>
          <w:rFonts w:ascii="Arial Narrow" w:hAnsi="Arial Narrow"/>
          <w:sz w:val="28"/>
          <w:szCs w:val="28"/>
        </w:rPr>
        <w:t>counts 1 to</w:t>
      </w:r>
      <w:r w:rsidRPr="00376102">
        <w:rPr>
          <w:rFonts w:ascii="Arial Narrow" w:hAnsi="Arial Narrow"/>
          <w:sz w:val="28"/>
          <w:szCs w:val="28"/>
        </w:rPr>
        <w:t xml:space="preserve"> 22, namely </w:t>
      </w:r>
      <w:r w:rsidR="002D4AB9" w:rsidRPr="00376102">
        <w:rPr>
          <w:rFonts w:ascii="Arial Narrow" w:hAnsi="Arial Narrow"/>
          <w:sz w:val="28"/>
          <w:szCs w:val="28"/>
        </w:rPr>
        <w:t>Lizo Kobus Jasie (Jasie)</w:t>
      </w:r>
      <w:r w:rsidRPr="00376102">
        <w:rPr>
          <w:rFonts w:ascii="Arial Narrow" w:hAnsi="Arial Narrow"/>
          <w:sz w:val="28"/>
          <w:szCs w:val="28"/>
        </w:rPr>
        <w:t xml:space="preserve"> and Martha</w:t>
      </w:r>
      <w:r w:rsidR="002D4AB9" w:rsidRPr="00376102">
        <w:rPr>
          <w:rFonts w:ascii="Arial Narrow" w:hAnsi="Arial Narrow"/>
          <w:sz w:val="28"/>
          <w:szCs w:val="28"/>
        </w:rPr>
        <w:t>lindi</w:t>
      </w:r>
      <w:r w:rsidRPr="00376102">
        <w:rPr>
          <w:rFonts w:ascii="Arial Narrow" w:hAnsi="Arial Narrow"/>
          <w:sz w:val="28"/>
          <w:szCs w:val="28"/>
        </w:rPr>
        <w:t xml:space="preserve"> </w:t>
      </w:r>
      <w:r w:rsidR="00F720D4" w:rsidRPr="00376102">
        <w:rPr>
          <w:rFonts w:ascii="Arial Narrow" w:hAnsi="Arial Narrow"/>
          <w:sz w:val="28"/>
          <w:szCs w:val="28"/>
        </w:rPr>
        <w:t>Hanabe</w:t>
      </w:r>
      <w:r w:rsidR="002D4AB9" w:rsidRPr="00376102">
        <w:rPr>
          <w:rFonts w:ascii="Arial Narrow" w:hAnsi="Arial Narrow"/>
          <w:sz w:val="28"/>
          <w:szCs w:val="28"/>
        </w:rPr>
        <w:t xml:space="preserve"> (Hanabe)</w:t>
      </w:r>
      <w:r w:rsidRPr="00376102">
        <w:rPr>
          <w:rFonts w:ascii="Arial Narrow" w:hAnsi="Arial Narrow"/>
          <w:sz w:val="28"/>
          <w:szCs w:val="28"/>
        </w:rPr>
        <w:t>. The appellant also made extensiv</w:t>
      </w:r>
      <w:r w:rsidR="002D4AB9" w:rsidRPr="00376102">
        <w:rPr>
          <w:rFonts w:ascii="Arial Narrow" w:hAnsi="Arial Narrow"/>
          <w:sz w:val="28"/>
          <w:szCs w:val="28"/>
        </w:rPr>
        <w:t>e admissions in terms of s</w:t>
      </w:r>
      <w:r w:rsidRPr="00376102">
        <w:rPr>
          <w:rFonts w:ascii="Arial Narrow" w:hAnsi="Arial Narrow"/>
          <w:sz w:val="28"/>
          <w:szCs w:val="28"/>
        </w:rPr>
        <w:t xml:space="preserve"> 220 relating </w:t>
      </w:r>
      <w:r w:rsidR="002D4AB9" w:rsidRPr="00376102">
        <w:rPr>
          <w:rFonts w:ascii="Arial Narrow" w:hAnsi="Arial Narrow"/>
          <w:sz w:val="28"/>
          <w:szCs w:val="28"/>
        </w:rPr>
        <w:t xml:space="preserve">to the charges in count 1 to 22. These concerned the </w:t>
      </w:r>
      <w:r w:rsidRPr="00376102">
        <w:rPr>
          <w:rFonts w:ascii="Arial Narrow" w:hAnsi="Arial Narrow"/>
          <w:sz w:val="28"/>
          <w:szCs w:val="28"/>
        </w:rPr>
        <w:t xml:space="preserve">conduct of </w:t>
      </w:r>
      <w:r w:rsidR="00F720D4" w:rsidRPr="00376102">
        <w:rPr>
          <w:rFonts w:ascii="Arial Narrow" w:hAnsi="Arial Narrow"/>
          <w:sz w:val="28"/>
          <w:szCs w:val="28"/>
        </w:rPr>
        <w:t>Hanabe</w:t>
      </w:r>
      <w:r w:rsidR="00376102">
        <w:rPr>
          <w:rFonts w:ascii="Arial Narrow" w:hAnsi="Arial Narrow"/>
          <w:sz w:val="28"/>
          <w:szCs w:val="28"/>
        </w:rPr>
        <w:t xml:space="preserve">, </w:t>
      </w:r>
      <w:r w:rsidRPr="00376102">
        <w:rPr>
          <w:rFonts w:ascii="Arial Narrow" w:hAnsi="Arial Narrow"/>
          <w:sz w:val="28"/>
          <w:szCs w:val="28"/>
        </w:rPr>
        <w:t xml:space="preserve">the process of registration of each of the fictitious identities in respect of both birth and death and the fact that the claims were made against the relevant insurance companies. In consequence of these admissions the central issue in dispute at trial was whether the appellant was a party to and/or acted in concert with </w:t>
      </w:r>
      <w:r w:rsidR="00F720D4" w:rsidRPr="00376102">
        <w:rPr>
          <w:rFonts w:ascii="Arial Narrow" w:hAnsi="Arial Narrow"/>
          <w:sz w:val="28"/>
          <w:szCs w:val="28"/>
        </w:rPr>
        <w:t>Hanabe</w:t>
      </w:r>
      <w:r w:rsidRPr="00376102">
        <w:rPr>
          <w:rFonts w:ascii="Arial Narrow" w:hAnsi="Arial Narrow"/>
          <w:sz w:val="28"/>
          <w:szCs w:val="28"/>
        </w:rPr>
        <w:t xml:space="preserve"> in the commission of the offences other th</w:t>
      </w:r>
      <w:r w:rsidR="002D4AB9" w:rsidRPr="00376102">
        <w:rPr>
          <w:rFonts w:ascii="Arial Narrow" w:hAnsi="Arial Narrow"/>
          <w:sz w:val="28"/>
          <w:szCs w:val="28"/>
        </w:rPr>
        <w:t>an those framed in counts 19 to</w:t>
      </w:r>
      <w:r w:rsidRPr="00376102">
        <w:rPr>
          <w:rFonts w:ascii="Arial Narrow" w:hAnsi="Arial Narrow"/>
          <w:sz w:val="28"/>
          <w:szCs w:val="28"/>
        </w:rPr>
        <w:t xml:space="preserve"> 22. The appellant testified in her defence.</w:t>
      </w:r>
    </w:p>
    <w:p w:rsidR="002D4AB9" w:rsidRPr="00376102" w:rsidRDefault="002D4AB9" w:rsidP="00376102">
      <w:pPr>
        <w:pStyle w:val="ListParagraph"/>
        <w:spacing w:after="0" w:line="360" w:lineRule="auto"/>
        <w:jc w:val="both"/>
        <w:rPr>
          <w:rFonts w:ascii="Arial Narrow" w:hAnsi="Arial Narrow"/>
          <w:sz w:val="28"/>
          <w:szCs w:val="28"/>
        </w:rPr>
      </w:pPr>
    </w:p>
    <w:p w:rsidR="003B07B8" w:rsidRPr="00376102" w:rsidRDefault="003B07B8" w:rsidP="00376102">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 xml:space="preserve">The magistrate delivered a terse </w:t>
      </w:r>
      <w:r w:rsidR="002D4AB9" w:rsidRPr="00376102">
        <w:rPr>
          <w:rFonts w:ascii="Arial Narrow" w:hAnsi="Arial Narrow"/>
          <w:sz w:val="28"/>
          <w:szCs w:val="28"/>
        </w:rPr>
        <w:t>judgment</w:t>
      </w:r>
      <w:r w:rsidRPr="00376102">
        <w:rPr>
          <w:rFonts w:ascii="Arial Narrow" w:hAnsi="Arial Narrow"/>
          <w:sz w:val="28"/>
          <w:szCs w:val="28"/>
        </w:rPr>
        <w:t xml:space="preserve"> described by the appellant’s counsel as “the laconic and exceptionally unhelpful”, in which he rejected the appellant’s version and accepted the evidence of </w:t>
      </w:r>
      <w:r w:rsidR="00F720D4" w:rsidRPr="00376102">
        <w:rPr>
          <w:rFonts w:ascii="Arial Narrow" w:hAnsi="Arial Narrow"/>
          <w:sz w:val="28"/>
          <w:szCs w:val="28"/>
        </w:rPr>
        <w:t>Hanabe</w:t>
      </w:r>
      <w:r w:rsidRPr="00376102">
        <w:rPr>
          <w:rFonts w:ascii="Arial Narrow" w:hAnsi="Arial Narrow"/>
          <w:sz w:val="28"/>
          <w:szCs w:val="28"/>
        </w:rPr>
        <w:t xml:space="preserve"> and </w:t>
      </w:r>
      <w:r w:rsidR="002D4AB9" w:rsidRPr="00376102">
        <w:rPr>
          <w:rFonts w:ascii="Arial Narrow" w:hAnsi="Arial Narrow"/>
          <w:sz w:val="28"/>
          <w:szCs w:val="28"/>
        </w:rPr>
        <w:t>Jasie. In doing so</w:t>
      </w:r>
      <w:r w:rsidRPr="00376102">
        <w:rPr>
          <w:rFonts w:ascii="Arial Narrow" w:hAnsi="Arial Narrow"/>
          <w:sz w:val="28"/>
          <w:szCs w:val="28"/>
        </w:rPr>
        <w:t xml:space="preserve"> the magistrate accepted that </w:t>
      </w:r>
      <w:r w:rsidR="00F720D4" w:rsidRPr="00376102">
        <w:rPr>
          <w:rFonts w:ascii="Arial Narrow" w:hAnsi="Arial Narrow"/>
          <w:sz w:val="28"/>
          <w:szCs w:val="28"/>
        </w:rPr>
        <w:t>Hanabe</w:t>
      </w:r>
      <w:r w:rsidRPr="00376102">
        <w:rPr>
          <w:rFonts w:ascii="Arial Narrow" w:hAnsi="Arial Narrow"/>
          <w:sz w:val="28"/>
          <w:szCs w:val="28"/>
        </w:rPr>
        <w:t xml:space="preserve"> was both a single witness and a co-perpetrator to whose evidence cautionary rules are applicable. The magistrate stated that the cautionary rule required that the evidence of a single witness should be found to be acceptable in all material respects. The </w:t>
      </w:r>
      <w:r w:rsidR="002D4AB9" w:rsidRPr="00376102">
        <w:rPr>
          <w:rFonts w:ascii="Arial Narrow" w:hAnsi="Arial Narrow"/>
          <w:sz w:val="28"/>
          <w:szCs w:val="28"/>
        </w:rPr>
        <w:t>judgment</w:t>
      </w:r>
      <w:r w:rsidRPr="00376102">
        <w:rPr>
          <w:rFonts w:ascii="Arial Narrow" w:hAnsi="Arial Narrow"/>
          <w:sz w:val="28"/>
          <w:szCs w:val="28"/>
        </w:rPr>
        <w:t xml:space="preserve"> records that the witness </w:t>
      </w:r>
      <w:r w:rsidR="00F720D4" w:rsidRPr="00376102">
        <w:rPr>
          <w:rFonts w:ascii="Arial Narrow" w:hAnsi="Arial Narrow"/>
          <w:sz w:val="28"/>
          <w:szCs w:val="28"/>
        </w:rPr>
        <w:t>Hanabe</w:t>
      </w:r>
      <w:r w:rsidRPr="00376102">
        <w:rPr>
          <w:rFonts w:ascii="Arial Narrow" w:hAnsi="Arial Narrow"/>
          <w:sz w:val="28"/>
          <w:szCs w:val="28"/>
        </w:rPr>
        <w:t xml:space="preserve"> made a very good impression upon the magistrate.</w:t>
      </w:r>
    </w:p>
    <w:p w:rsidR="002D4AB9" w:rsidRPr="00376102" w:rsidRDefault="002D4AB9" w:rsidP="00376102">
      <w:pPr>
        <w:pStyle w:val="ListParagraph"/>
        <w:spacing w:after="0" w:line="360" w:lineRule="auto"/>
        <w:jc w:val="both"/>
        <w:rPr>
          <w:rFonts w:ascii="Arial Narrow" w:hAnsi="Arial Narrow"/>
          <w:sz w:val="28"/>
          <w:szCs w:val="28"/>
        </w:rPr>
      </w:pPr>
    </w:p>
    <w:p w:rsidR="003B07B8" w:rsidRPr="00376102" w:rsidRDefault="003B07B8" w:rsidP="00376102">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 xml:space="preserve">The criticism levelled at the magistrate’s </w:t>
      </w:r>
      <w:r w:rsidR="002D4AB9" w:rsidRPr="00376102">
        <w:rPr>
          <w:rFonts w:ascii="Arial Narrow" w:hAnsi="Arial Narrow"/>
          <w:sz w:val="28"/>
          <w:szCs w:val="28"/>
        </w:rPr>
        <w:t>judgment</w:t>
      </w:r>
      <w:r w:rsidRPr="00376102">
        <w:rPr>
          <w:rFonts w:ascii="Arial Narrow" w:hAnsi="Arial Narrow"/>
          <w:sz w:val="28"/>
          <w:szCs w:val="28"/>
        </w:rPr>
        <w:t>, namely that it is terse</w:t>
      </w:r>
      <w:r w:rsidR="002D4AB9" w:rsidRPr="00376102">
        <w:rPr>
          <w:rFonts w:ascii="Arial Narrow" w:hAnsi="Arial Narrow"/>
          <w:sz w:val="28"/>
          <w:szCs w:val="28"/>
        </w:rPr>
        <w:t>,</w:t>
      </w:r>
      <w:r w:rsidRPr="00376102">
        <w:rPr>
          <w:rFonts w:ascii="Arial Narrow" w:hAnsi="Arial Narrow"/>
          <w:sz w:val="28"/>
          <w:szCs w:val="28"/>
        </w:rPr>
        <w:t xml:space="preserve"> is certainly justified. For reasons t</w:t>
      </w:r>
      <w:r w:rsidR="002D4AB9" w:rsidRPr="00376102">
        <w:rPr>
          <w:rFonts w:ascii="Arial Narrow" w:hAnsi="Arial Narrow"/>
          <w:sz w:val="28"/>
          <w:szCs w:val="28"/>
        </w:rPr>
        <w:t>hat will be set out hereunder h</w:t>
      </w:r>
      <w:r w:rsidRPr="00376102">
        <w:rPr>
          <w:rFonts w:ascii="Arial Narrow" w:hAnsi="Arial Narrow"/>
          <w:sz w:val="28"/>
          <w:szCs w:val="28"/>
        </w:rPr>
        <w:t xml:space="preserve">owever, it cannot be said that the </w:t>
      </w:r>
      <w:r w:rsidR="002D4AB9" w:rsidRPr="00376102">
        <w:rPr>
          <w:rFonts w:ascii="Arial Narrow" w:hAnsi="Arial Narrow"/>
          <w:sz w:val="28"/>
          <w:szCs w:val="28"/>
        </w:rPr>
        <w:t>judgment</w:t>
      </w:r>
      <w:r w:rsidRPr="00376102">
        <w:rPr>
          <w:rFonts w:ascii="Arial Narrow" w:hAnsi="Arial Narrow"/>
          <w:sz w:val="28"/>
          <w:szCs w:val="28"/>
        </w:rPr>
        <w:t xml:space="preserve"> is </w:t>
      </w:r>
      <w:r w:rsidR="002D4AB9" w:rsidRPr="00376102">
        <w:rPr>
          <w:rFonts w:ascii="Arial Narrow" w:hAnsi="Arial Narrow"/>
          <w:sz w:val="28"/>
          <w:szCs w:val="28"/>
        </w:rPr>
        <w:t>“</w:t>
      </w:r>
      <w:r w:rsidRPr="00376102">
        <w:rPr>
          <w:rFonts w:ascii="Arial Narrow" w:hAnsi="Arial Narrow"/>
          <w:sz w:val="28"/>
          <w:szCs w:val="28"/>
        </w:rPr>
        <w:t>entirely unhelpful</w:t>
      </w:r>
      <w:r w:rsidR="002D4AB9" w:rsidRPr="00376102">
        <w:rPr>
          <w:rFonts w:ascii="Arial Narrow" w:hAnsi="Arial Narrow"/>
          <w:sz w:val="28"/>
          <w:szCs w:val="28"/>
        </w:rPr>
        <w:t>”</w:t>
      </w:r>
      <w:r w:rsidRPr="00376102">
        <w:rPr>
          <w:rFonts w:ascii="Arial Narrow" w:hAnsi="Arial Narrow"/>
          <w:sz w:val="28"/>
          <w:szCs w:val="28"/>
        </w:rPr>
        <w:t>.</w:t>
      </w:r>
    </w:p>
    <w:p w:rsidR="002D4AB9" w:rsidRPr="00376102" w:rsidRDefault="002D4AB9" w:rsidP="00376102">
      <w:pPr>
        <w:pStyle w:val="ListParagraph"/>
        <w:spacing w:after="0" w:line="360" w:lineRule="auto"/>
        <w:jc w:val="both"/>
        <w:rPr>
          <w:rFonts w:ascii="Arial Narrow" w:hAnsi="Arial Narrow"/>
          <w:sz w:val="28"/>
          <w:szCs w:val="28"/>
        </w:rPr>
      </w:pPr>
    </w:p>
    <w:p w:rsidR="003B07B8" w:rsidRPr="00376102" w:rsidRDefault="003B07B8" w:rsidP="00376102">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Our court</w:t>
      </w:r>
      <w:r w:rsidR="002D4AB9" w:rsidRPr="00376102">
        <w:rPr>
          <w:rFonts w:ascii="Arial Narrow" w:hAnsi="Arial Narrow"/>
          <w:sz w:val="28"/>
          <w:szCs w:val="28"/>
        </w:rPr>
        <w:t xml:space="preserve">s have on several occasions </w:t>
      </w:r>
      <w:r w:rsidRPr="00376102">
        <w:rPr>
          <w:rFonts w:ascii="Arial Narrow" w:hAnsi="Arial Narrow"/>
          <w:sz w:val="28"/>
          <w:szCs w:val="28"/>
        </w:rPr>
        <w:t>address</w:t>
      </w:r>
      <w:r w:rsidR="002D4AB9" w:rsidRPr="00376102">
        <w:rPr>
          <w:rFonts w:ascii="Arial Narrow" w:hAnsi="Arial Narrow"/>
          <w:sz w:val="28"/>
          <w:szCs w:val="28"/>
        </w:rPr>
        <w:t>ed</w:t>
      </w:r>
      <w:r w:rsidRPr="00376102">
        <w:rPr>
          <w:rFonts w:ascii="Arial Narrow" w:hAnsi="Arial Narrow"/>
          <w:sz w:val="28"/>
          <w:szCs w:val="28"/>
        </w:rPr>
        <w:t xml:space="preserve"> the fundamental importance of a trial court, whether a lower or higher court, f</w:t>
      </w:r>
      <w:r w:rsidR="002D4AB9" w:rsidRPr="00376102">
        <w:rPr>
          <w:rFonts w:ascii="Arial Narrow" w:hAnsi="Arial Narrow"/>
          <w:sz w:val="28"/>
          <w:szCs w:val="28"/>
        </w:rPr>
        <w:t>urnishing reasons for thei</w:t>
      </w:r>
      <w:r w:rsidR="002F739A" w:rsidRPr="00376102">
        <w:rPr>
          <w:rFonts w:ascii="Arial Narrow" w:hAnsi="Arial Narrow"/>
          <w:sz w:val="28"/>
          <w:szCs w:val="28"/>
        </w:rPr>
        <w:t>r</w:t>
      </w:r>
      <w:r w:rsidRPr="00376102">
        <w:rPr>
          <w:rFonts w:ascii="Arial Narrow" w:hAnsi="Arial Narrow"/>
          <w:sz w:val="28"/>
          <w:szCs w:val="28"/>
        </w:rPr>
        <w:t xml:space="preserve"> decisions.</w:t>
      </w:r>
      <w:r w:rsidR="002F739A" w:rsidRPr="00376102">
        <w:rPr>
          <w:rStyle w:val="FootnoteReference"/>
          <w:rFonts w:ascii="Arial Narrow" w:hAnsi="Arial Narrow"/>
          <w:sz w:val="28"/>
          <w:szCs w:val="28"/>
        </w:rPr>
        <w:footnoteReference w:id="1"/>
      </w:r>
      <w:r w:rsidRPr="00376102">
        <w:rPr>
          <w:rFonts w:ascii="Arial Narrow" w:hAnsi="Arial Narrow"/>
          <w:sz w:val="28"/>
          <w:szCs w:val="28"/>
        </w:rPr>
        <w:t xml:space="preserve"> The failure to set out the findings of fact and to furnish reasons for its </w:t>
      </w:r>
      <w:r w:rsidR="002D4AB9" w:rsidRPr="00376102">
        <w:rPr>
          <w:rFonts w:ascii="Arial Narrow" w:hAnsi="Arial Narrow"/>
          <w:sz w:val="28"/>
          <w:szCs w:val="28"/>
        </w:rPr>
        <w:t>judgment</w:t>
      </w:r>
      <w:r w:rsidRPr="00376102">
        <w:rPr>
          <w:rFonts w:ascii="Arial Narrow" w:hAnsi="Arial Narrow"/>
          <w:sz w:val="28"/>
          <w:szCs w:val="28"/>
        </w:rPr>
        <w:t xml:space="preserve"> places an appeal or reviewing court at a disadvantage in adjudicating the matter.</w:t>
      </w:r>
      <w:r w:rsidR="002F739A" w:rsidRPr="00376102">
        <w:rPr>
          <w:rStyle w:val="FootnoteReference"/>
          <w:rFonts w:ascii="Arial Narrow" w:hAnsi="Arial Narrow"/>
          <w:sz w:val="28"/>
          <w:szCs w:val="28"/>
        </w:rPr>
        <w:footnoteReference w:id="2"/>
      </w:r>
    </w:p>
    <w:p w:rsidR="002F739A" w:rsidRPr="00376102" w:rsidRDefault="002F739A" w:rsidP="00376102">
      <w:pPr>
        <w:pStyle w:val="ListParagraph"/>
        <w:spacing w:after="0" w:line="360" w:lineRule="auto"/>
        <w:jc w:val="both"/>
        <w:rPr>
          <w:rFonts w:ascii="Arial Narrow" w:hAnsi="Arial Narrow"/>
          <w:sz w:val="28"/>
          <w:szCs w:val="28"/>
        </w:rPr>
      </w:pPr>
    </w:p>
    <w:p w:rsidR="003B07B8" w:rsidRPr="00376102" w:rsidRDefault="003B07B8" w:rsidP="00376102">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 xml:space="preserve">In </w:t>
      </w:r>
      <w:r w:rsidRPr="00376102">
        <w:rPr>
          <w:rFonts w:ascii="Arial Narrow" w:hAnsi="Arial Narrow"/>
          <w:sz w:val="28"/>
          <w:szCs w:val="28"/>
          <w:u w:val="single"/>
        </w:rPr>
        <w:t>S v</w:t>
      </w:r>
      <w:r w:rsidR="002F739A" w:rsidRPr="00376102">
        <w:rPr>
          <w:rFonts w:ascii="Arial Narrow" w:hAnsi="Arial Narrow"/>
          <w:sz w:val="28"/>
          <w:szCs w:val="28"/>
          <w:u w:val="single"/>
        </w:rPr>
        <w:t xml:space="preserve"> Franzenberg</w:t>
      </w:r>
      <w:r w:rsidRPr="00376102">
        <w:rPr>
          <w:rFonts w:ascii="Arial Narrow" w:hAnsi="Arial Narrow"/>
          <w:sz w:val="28"/>
          <w:szCs w:val="28"/>
          <w:u w:val="single"/>
        </w:rPr>
        <w:t xml:space="preserve"> and others</w:t>
      </w:r>
      <w:r w:rsidRPr="00376102">
        <w:rPr>
          <w:rFonts w:ascii="Arial Narrow" w:hAnsi="Arial Narrow"/>
          <w:sz w:val="28"/>
          <w:szCs w:val="28"/>
        </w:rPr>
        <w:t xml:space="preserve"> </w:t>
      </w:r>
      <w:r w:rsidR="002F739A" w:rsidRPr="00376102">
        <w:rPr>
          <w:rStyle w:val="FootnoteReference"/>
          <w:rFonts w:ascii="Arial Narrow" w:hAnsi="Arial Narrow"/>
          <w:sz w:val="28"/>
          <w:szCs w:val="28"/>
        </w:rPr>
        <w:footnoteReference w:id="3"/>
      </w:r>
      <w:r w:rsidR="002F739A" w:rsidRPr="00376102">
        <w:rPr>
          <w:rFonts w:ascii="Arial Narrow" w:hAnsi="Arial Narrow"/>
          <w:sz w:val="28"/>
          <w:szCs w:val="28"/>
        </w:rPr>
        <w:t xml:space="preserve"> it was said</w:t>
      </w:r>
      <w:r w:rsidRPr="00376102">
        <w:rPr>
          <w:rFonts w:ascii="Arial Narrow" w:hAnsi="Arial Narrow"/>
          <w:sz w:val="28"/>
          <w:szCs w:val="28"/>
        </w:rPr>
        <w:t>:</w:t>
      </w:r>
    </w:p>
    <w:p w:rsidR="002F739A" w:rsidRPr="002F739A" w:rsidRDefault="002F739A" w:rsidP="002F739A">
      <w:pPr>
        <w:pStyle w:val="ListParagraph"/>
        <w:rPr>
          <w:rFonts w:ascii="Arial Narrow" w:hAnsi="Arial Narrow"/>
        </w:rPr>
      </w:pPr>
    </w:p>
    <w:p w:rsidR="002F739A" w:rsidRPr="002F739A" w:rsidRDefault="002F739A" w:rsidP="002F739A">
      <w:pPr>
        <w:pStyle w:val="ListParagraph"/>
        <w:spacing w:after="0" w:line="240" w:lineRule="auto"/>
        <w:ind w:left="1440"/>
        <w:jc w:val="both"/>
        <w:rPr>
          <w:rFonts w:ascii="Arial Narrow" w:hAnsi="Arial Narrow"/>
        </w:rPr>
      </w:pPr>
      <w:r w:rsidRPr="002F739A">
        <w:rPr>
          <w:rFonts w:ascii="Arial Narrow" w:hAnsi="Arial Narrow"/>
        </w:rPr>
        <w:t>It is clearly in the interests of justice that a Judge, either sitting alone or with assessors, should give reasons</w:t>
      </w:r>
      <w:r>
        <w:rPr>
          <w:rFonts w:ascii="Arial Narrow" w:hAnsi="Arial Narrow"/>
        </w:rPr>
        <w:t xml:space="preserve"> for the finding of the trial </w:t>
      </w:r>
      <w:r w:rsidRPr="002F739A">
        <w:rPr>
          <w:rFonts w:ascii="Arial Narrow" w:hAnsi="Arial Narrow"/>
        </w:rPr>
        <w:t xml:space="preserve">Court - </w:t>
      </w:r>
      <w:r w:rsidRPr="009B727A">
        <w:rPr>
          <w:rFonts w:ascii="Arial Narrow" w:hAnsi="Arial Narrow"/>
          <w:i/>
        </w:rPr>
        <w:t>S v Immelman 1978 (3) SA  A 726 (A) at 729A - B</w:t>
      </w:r>
      <w:r w:rsidRPr="002F739A">
        <w:rPr>
          <w:rFonts w:ascii="Arial Narrow" w:hAnsi="Arial Narrow"/>
        </w:rPr>
        <w:t xml:space="preserve"> and the cases there cited. This is now enshrined in s 146 of the Criminal Procedure Act 51 of 1977, which imposes on a trial Judge the duty to give the reasons for the decision or the finding of the Court on questions of fact, including where the Judge sits with an assessor or assessors and there is a difference of opinion, the reasons for the decision of th</w:t>
      </w:r>
      <w:r>
        <w:rPr>
          <w:rFonts w:ascii="Arial Narrow" w:hAnsi="Arial Narrow"/>
        </w:rPr>
        <w:t xml:space="preserve">e member of the Court in the </w:t>
      </w:r>
      <w:r w:rsidRPr="002F739A">
        <w:rPr>
          <w:rFonts w:ascii="Arial Narrow" w:hAnsi="Arial Narrow"/>
        </w:rPr>
        <w:t xml:space="preserve">minority. The importance of complying with this duty was recently emphasised by Howie JA, as he then was, in </w:t>
      </w:r>
      <w:r w:rsidRPr="009B727A">
        <w:rPr>
          <w:rFonts w:ascii="Arial Narrow" w:hAnsi="Arial Narrow"/>
          <w:i/>
        </w:rPr>
        <w:t>S v Calitz en 'n Ander 2003 (1) SACR 116 (SCA) in para [12]</w:t>
      </w:r>
      <w:r w:rsidRPr="002F739A">
        <w:rPr>
          <w:rFonts w:ascii="Arial Narrow" w:hAnsi="Arial Narrow"/>
        </w:rPr>
        <w:t>, when he said:</w:t>
      </w:r>
    </w:p>
    <w:p w:rsidR="003B07B8" w:rsidRDefault="002F739A" w:rsidP="002F739A">
      <w:pPr>
        <w:pStyle w:val="ListParagraph"/>
        <w:spacing w:after="0" w:line="240" w:lineRule="auto"/>
        <w:ind w:left="2160"/>
        <w:jc w:val="both"/>
        <w:rPr>
          <w:rFonts w:ascii="Arial Narrow" w:hAnsi="Arial Narrow"/>
        </w:rPr>
      </w:pPr>
      <w:r w:rsidRPr="002F739A">
        <w:rPr>
          <w:rFonts w:ascii="Arial Narrow" w:hAnsi="Arial Narrow"/>
        </w:rPr>
        <w:t xml:space="preserve"> 'Hoe dit ook al sy, dit moet beklemtoon word dat die behoorlike beskerming, enersyds, van 'n appellant se grondwetlike reg tot appèl en, andersyds, die gemeenskap se belang dat oortreders b</w:t>
      </w:r>
      <w:r>
        <w:rPr>
          <w:rFonts w:ascii="Arial Narrow" w:hAnsi="Arial Narrow"/>
        </w:rPr>
        <w:t xml:space="preserve">ehoorlik </w:t>
      </w:r>
      <w:r w:rsidRPr="002F739A">
        <w:rPr>
          <w:rFonts w:ascii="Arial Narrow" w:hAnsi="Arial Narrow"/>
        </w:rPr>
        <w:t xml:space="preserve"> gestraf word, van 'n regterlike amptenaar vereis dat deeglike aandag gegee word aan die formulering en verstrekking van vonnisredes. Daarsonder word ge</w:t>
      </w:r>
      <w:r>
        <w:rPr>
          <w:rFonts w:ascii="Arial Narrow" w:hAnsi="Arial Narrow"/>
        </w:rPr>
        <w:t>sonde strafregpleging belemmer.”</w:t>
      </w:r>
    </w:p>
    <w:p w:rsidR="002F739A" w:rsidRDefault="002F739A" w:rsidP="002F739A">
      <w:pPr>
        <w:pStyle w:val="ListParagraph"/>
        <w:spacing w:after="0" w:line="240" w:lineRule="auto"/>
        <w:jc w:val="both"/>
        <w:rPr>
          <w:rFonts w:ascii="Arial Narrow" w:hAnsi="Arial Narrow"/>
        </w:rPr>
      </w:pPr>
    </w:p>
    <w:p w:rsidR="0054474D" w:rsidRDefault="0054474D" w:rsidP="0054474D">
      <w:pPr>
        <w:pStyle w:val="ListParagraph"/>
        <w:spacing w:after="0" w:line="360" w:lineRule="auto"/>
        <w:jc w:val="both"/>
        <w:rPr>
          <w:rFonts w:ascii="Arial Narrow" w:hAnsi="Arial Narrow"/>
          <w:sz w:val="28"/>
          <w:szCs w:val="28"/>
        </w:rPr>
      </w:pPr>
    </w:p>
    <w:p w:rsidR="003B07B8" w:rsidRPr="00376102" w:rsidRDefault="003B07B8" w:rsidP="00376102">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These remarks are, in my view, equally apposite to magistrates whose obligation to furnish reasons for a decision or finding</w:t>
      </w:r>
      <w:r w:rsidR="009B727A" w:rsidRPr="00376102">
        <w:rPr>
          <w:rFonts w:ascii="Arial Narrow" w:hAnsi="Arial Narrow"/>
          <w:sz w:val="28"/>
          <w:szCs w:val="28"/>
        </w:rPr>
        <w:t xml:space="preserve"> is enshrined in s 93 ter</w:t>
      </w:r>
      <w:r w:rsidRPr="00376102">
        <w:rPr>
          <w:rFonts w:ascii="Arial Narrow" w:hAnsi="Arial Narrow"/>
          <w:sz w:val="28"/>
          <w:szCs w:val="28"/>
        </w:rPr>
        <w:t xml:space="preserve"> (3) of the Magistrates Courts Act 32 of 1944. As was noted in </w:t>
      </w:r>
      <w:r w:rsidR="009B727A" w:rsidRPr="00376102">
        <w:rPr>
          <w:rFonts w:ascii="Arial Narrow" w:hAnsi="Arial Narrow"/>
          <w:sz w:val="28"/>
          <w:szCs w:val="28"/>
          <w:u w:val="single"/>
        </w:rPr>
        <w:t>Franzenberg</w:t>
      </w:r>
      <w:r w:rsidR="009B727A" w:rsidRPr="00376102">
        <w:rPr>
          <w:rFonts w:ascii="Arial Narrow" w:hAnsi="Arial Narrow"/>
          <w:sz w:val="28"/>
          <w:szCs w:val="28"/>
        </w:rPr>
        <w:t xml:space="preserve"> </w:t>
      </w:r>
      <w:r w:rsidR="009B727A" w:rsidRPr="00376102">
        <w:rPr>
          <w:rStyle w:val="FootnoteReference"/>
          <w:rFonts w:ascii="Arial Narrow" w:hAnsi="Arial Narrow"/>
          <w:sz w:val="28"/>
          <w:szCs w:val="28"/>
        </w:rPr>
        <w:footnoteReference w:id="4"/>
      </w:r>
      <w:r w:rsidR="009B727A" w:rsidRPr="00376102">
        <w:rPr>
          <w:rFonts w:ascii="Arial Narrow" w:hAnsi="Arial Narrow"/>
          <w:sz w:val="28"/>
          <w:szCs w:val="28"/>
        </w:rPr>
        <w:t xml:space="preserve"> i</w:t>
      </w:r>
      <w:r w:rsidRPr="00376102">
        <w:rPr>
          <w:rFonts w:ascii="Arial Narrow" w:hAnsi="Arial Narrow"/>
          <w:sz w:val="28"/>
          <w:szCs w:val="28"/>
        </w:rPr>
        <w:t>n the absence of any</w:t>
      </w:r>
      <w:r w:rsidR="009B727A" w:rsidRPr="00376102">
        <w:rPr>
          <w:rFonts w:ascii="Arial Narrow" w:hAnsi="Arial Narrow"/>
          <w:sz w:val="28"/>
          <w:szCs w:val="28"/>
        </w:rPr>
        <w:t xml:space="preserve"> or proper reasons, the appeal c</w:t>
      </w:r>
      <w:r w:rsidRPr="00376102">
        <w:rPr>
          <w:rFonts w:ascii="Arial Narrow" w:hAnsi="Arial Narrow"/>
          <w:sz w:val="28"/>
          <w:szCs w:val="28"/>
        </w:rPr>
        <w:t>ourt:</w:t>
      </w:r>
    </w:p>
    <w:p w:rsidR="009B727A" w:rsidRDefault="009B727A" w:rsidP="009B727A">
      <w:pPr>
        <w:pStyle w:val="ListParagraph"/>
        <w:spacing w:after="0" w:line="240" w:lineRule="auto"/>
        <w:jc w:val="both"/>
        <w:rPr>
          <w:rFonts w:ascii="Arial Narrow" w:hAnsi="Arial Narrow"/>
        </w:rPr>
      </w:pPr>
    </w:p>
    <w:p w:rsidR="003B07B8" w:rsidRDefault="009B727A" w:rsidP="009B727A">
      <w:pPr>
        <w:pStyle w:val="ListParagraph"/>
        <w:spacing w:after="0" w:line="240" w:lineRule="auto"/>
        <w:ind w:left="1440"/>
        <w:jc w:val="both"/>
        <w:rPr>
          <w:rFonts w:ascii="Arial Narrow" w:hAnsi="Arial Narrow"/>
        </w:rPr>
      </w:pPr>
      <w:r>
        <w:rPr>
          <w:rFonts w:ascii="Arial Narrow" w:hAnsi="Arial Narrow"/>
        </w:rPr>
        <w:t>‘…(a) has to do its best on the material on record; (b</w:t>
      </w:r>
      <w:r w:rsidR="003B07B8">
        <w:rPr>
          <w:rFonts w:ascii="Arial Narrow" w:hAnsi="Arial Narrow"/>
        </w:rPr>
        <w:t>) cannot pro</w:t>
      </w:r>
      <w:r>
        <w:rPr>
          <w:rFonts w:ascii="Arial Narrow" w:hAnsi="Arial Narrow"/>
        </w:rPr>
        <w:t>ceed on the assumption that there</w:t>
      </w:r>
      <w:r w:rsidR="003B07B8">
        <w:rPr>
          <w:rFonts w:ascii="Arial Narrow" w:hAnsi="Arial Narrow"/>
        </w:rPr>
        <w:t xml:space="preserve"> was no misdirection or irregularity in the process of reaching the decision t</w:t>
      </w:r>
      <w:r>
        <w:rPr>
          <w:rFonts w:ascii="Arial Narrow" w:hAnsi="Arial Narrow"/>
        </w:rPr>
        <w:t xml:space="preserve">hat was reached by the Court </w:t>
      </w:r>
      <w:r w:rsidRPr="009B727A">
        <w:rPr>
          <w:rFonts w:ascii="Arial Narrow" w:hAnsi="Arial Narrow"/>
          <w:i/>
        </w:rPr>
        <w:t>a</w:t>
      </w:r>
      <w:r w:rsidR="003B07B8" w:rsidRPr="009B727A">
        <w:rPr>
          <w:rFonts w:ascii="Arial Narrow" w:hAnsi="Arial Narrow"/>
          <w:i/>
        </w:rPr>
        <w:t xml:space="preserve"> quo</w:t>
      </w:r>
      <w:r>
        <w:rPr>
          <w:rFonts w:ascii="Arial Narrow" w:hAnsi="Arial Narrow"/>
        </w:rPr>
        <w:t>; (c</w:t>
      </w:r>
      <w:r w:rsidR="003B07B8">
        <w:rPr>
          <w:rFonts w:ascii="Arial Narrow" w:hAnsi="Arial Narrow"/>
        </w:rPr>
        <w:t>)</w:t>
      </w:r>
      <w:r>
        <w:rPr>
          <w:rFonts w:ascii="Arial Narrow" w:hAnsi="Arial Narrow"/>
        </w:rPr>
        <w:t xml:space="preserve"> cannot assume that the Court </w:t>
      </w:r>
      <w:r w:rsidRPr="009B727A">
        <w:rPr>
          <w:rFonts w:ascii="Arial Narrow" w:hAnsi="Arial Narrow"/>
          <w:i/>
        </w:rPr>
        <w:t xml:space="preserve">a </w:t>
      </w:r>
      <w:r w:rsidR="003B07B8" w:rsidRPr="009B727A">
        <w:rPr>
          <w:rFonts w:ascii="Arial Narrow" w:hAnsi="Arial Narrow"/>
          <w:i/>
        </w:rPr>
        <w:t>quo</w:t>
      </w:r>
      <w:r>
        <w:rPr>
          <w:rFonts w:ascii="Arial Narrow" w:hAnsi="Arial Narrow"/>
        </w:rPr>
        <w:t xml:space="preserve"> </w:t>
      </w:r>
      <w:r w:rsidR="003B07B8">
        <w:rPr>
          <w:rFonts w:ascii="Arial Narrow" w:hAnsi="Arial Narrow"/>
        </w:rPr>
        <w:t>had cogent reasons for seemingly accepting the witnesses who i</w:t>
      </w:r>
      <w:r>
        <w:rPr>
          <w:rFonts w:ascii="Arial Narrow" w:hAnsi="Arial Narrow"/>
        </w:rPr>
        <w:t>mplicated the appellants; and (d</w:t>
      </w:r>
      <w:r w:rsidR="003B07B8">
        <w:rPr>
          <w:rFonts w:ascii="Arial Narrow" w:hAnsi="Arial Narrow"/>
        </w:rPr>
        <w:t xml:space="preserve">) should have regard only to the question of the </w:t>
      </w:r>
      <w:r w:rsidR="003B07B8" w:rsidRPr="009B727A">
        <w:rPr>
          <w:rFonts w:ascii="Arial Narrow" w:hAnsi="Arial Narrow"/>
          <w:i/>
        </w:rPr>
        <w:t>onus</w:t>
      </w:r>
      <w:r>
        <w:rPr>
          <w:rFonts w:ascii="Arial Narrow" w:hAnsi="Arial Narrow"/>
        </w:rPr>
        <w:t xml:space="preserve"> of proof o</w:t>
      </w:r>
      <w:r w:rsidR="003B07B8">
        <w:rPr>
          <w:rFonts w:ascii="Arial Narrow" w:hAnsi="Arial Narrow"/>
        </w:rPr>
        <w:t>nce all the relevant evidence had been examined to see whether there is any doubt as to which version is acceptable.</w:t>
      </w:r>
    </w:p>
    <w:p w:rsidR="009B727A" w:rsidRDefault="009B727A" w:rsidP="009B727A">
      <w:pPr>
        <w:pStyle w:val="ListParagraph"/>
        <w:spacing w:after="0" w:line="240" w:lineRule="auto"/>
        <w:jc w:val="both"/>
        <w:rPr>
          <w:rFonts w:ascii="Arial Narrow" w:hAnsi="Arial Narrow"/>
        </w:rPr>
      </w:pPr>
    </w:p>
    <w:p w:rsidR="0054474D" w:rsidRDefault="0054474D" w:rsidP="0054474D">
      <w:pPr>
        <w:pStyle w:val="ListParagraph"/>
        <w:spacing w:after="0" w:line="360" w:lineRule="auto"/>
        <w:jc w:val="both"/>
        <w:rPr>
          <w:rFonts w:ascii="Arial Narrow" w:hAnsi="Arial Narrow"/>
          <w:sz w:val="28"/>
          <w:szCs w:val="28"/>
        </w:rPr>
      </w:pPr>
    </w:p>
    <w:p w:rsidR="003B07B8" w:rsidRPr="00376102" w:rsidRDefault="003B07B8" w:rsidP="00376102">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 xml:space="preserve">This is not an instance, however, in which the magistrate has furnished no reasons for </w:t>
      </w:r>
      <w:r w:rsidR="002D4AB9" w:rsidRPr="00376102">
        <w:rPr>
          <w:rFonts w:ascii="Arial Narrow" w:hAnsi="Arial Narrow"/>
          <w:sz w:val="28"/>
          <w:szCs w:val="28"/>
        </w:rPr>
        <w:t>judgment</w:t>
      </w:r>
      <w:r w:rsidRPr="00376102">
        <w:rPr>
          <w:rFonts w:ascii="Arial Narrow" w:hAnsi="Arial Narrow"/>
          <w:sz w:val="28"/>
          <w:szCs w:val="28"/>
        </w:rPr>
        <w:t xml:space="preserve">. I have </w:t>
      </w:r>
      <w:r w:rsidR="009B727A" w:rsidRPr="00376102">
        <w:rPr>
          <w:rFonts w:ascii="Arial Narrow" w:hAnsi="Arial Narrow"/>
          <w:sz w:val="28"/>
          <w:szCs w:val="28"/>
        </w:rPr>
        <w:t xml:space="preserve">already remarked that the terse </w:t>
      </w:r>
      <w:r w:rsidR="002D4AB9" w:rsidRPr="00376102">
        <w:rPr>
          <w:rFonts w:ascii="Arial Narrow" w:hAnsi="Arial Narrow"/>
          <w:sz w:val="28"/>
          <w:szCs w:val="28"/>
        </w:rPr>
        <w:t>judgment</w:t>
      </w:r>
      <w:r w:rsidRPr="00376102">
        <w:rPr>
          <w:rFonts w:ascii="Arial Narrow" w:hAnsi="Arial Narrow"/>
          <w:sz w:val="28"/>
          <w:szCs w:val="28"/>
        </w:rPr>
        <w:t xml:space="preserve"> is not, contrary to counsel for the appellant’s submission, “unhelpful”. The following important elements of the magistrate’s reasoning </w:t>
      </w:r>
      <w:r w:rsidR="009B727A" w:rsidRPr="00376102">
        <w:rPr>
          <w:rFonts w:ascii="Arial Narrow" w:hAnsi="Arial Narrow"/>
          <w:sz w:val="28"/>
          <w:szCs w:val="28"/>
        </w:rPr>
        <w:t xml:space="preserve">are </w:t>
      </w:r>
      <w:r w:rsidRPr="00376102">
        <w:rPr>
          <w:rFonts w:ascii="Arial Narrow" w:hAnsi="Arial Narrow"/>
          <w:sz w:val="28"/>
          <w:szCs w:val="28"/>
        </w:rPr>
        <w:t xml:space="preserve">to be gleaned from the </w:t>
      </w:r>
      <w:r w:rsidR="002D4AB9" w:rsidRPr="00376102">
        <w:rPr>
          <w:rFonts w:ascii="Arial Narrow" w:hAnsi="Arial Narrow"/>
          <w:sz w:val="28"/>
          <w:szCs w:val="28"/>
        </w:rPr>
        <w:t>judgment</w:t>
      </w:r>
      <w:r w:rsidRPr="00376102">
        <w:rPr>
          <w:rFonts w:ascii="Arial Narrow" w:hAnsi="Arial Narrow"/>
          <w:sz w:val="28"/>
          <w:szCs w:val="28"/>
        </w:rPr>
        <w:t>. Firstly</w:t>
      </w:r>
      <w:r w:rsidR="009B727A" w:rsidRPr="00376102">
        <w:rPr>
          <w:rFonts w:ascii="Arial Narrow" w:hAnsi="Arial Narrow"/>
          <w:sz w:val="28"/>
          <w:szCs w:val="28"/>
        </w:rPr>
        <w:t>,</w:t>
      </w:r>
      <w:r w:rsidRPr="00376102">
        <w:rPr>
          <w:rFonts w:ascii="Arial Narrow" w:hAnsi="Arial Narrow"/>
          <w:sz w:val="28"/>
          <w:szCs w:val="28"/>
        </w:rPr>
        <w:t xml:space="preserve"> that the same </w:t>
      </w:r>
      <w:r w:rsidRPr="00376102">
        <w:rPr>
          <w:rFonts w:ascii="Arial Narrow" w:hAnsi="Arial Narrow"/>
          <w:i/>
          <w:sz w:val="28"/>
          <w:szCs w:val="28"/>
        </w:rPr>
        <w:t>modus operandi</w:t>
      </w:r>
      <w:r w:rsidRPr="00376102">
        <w:rPr>
          <w:rFonts w:ascii="Arial Narrow" w:hAnsi="Arial Narrow"/>
          <w:sz w:val="28"/>
          <w:szCs w:val="28"/>
        </w:rPr>
        <w:t xml:space="preserve"> was employed in relation to each of the incidents of the creation of a false identity. Secondly, that the evidence implicating the appellant in the commission of th</w:t>
      </w:r>
      <w:r w:rsidR="009B727A" w:rsidRPr="00376102">
        <w:rPr>
          <w:rFonts w:ascii="Arial Narrow" w:hAnsi="Arial Narrow"/>
          <w:sz w:val="28"/>
          <w:szCs w:val="28"/>
        </w:rPr>
        <w:t xml:space="preserve">e offences set out in counts 1 to </w:t>
      </w:r>
      <w:r w:rsidRPr="00376102">
        <w:rPr>
          <w:rFonts w:ascii="Arial Narrow" w:hAnsi="Arial Narrow"/>
          <w:sz w:val="28"/>
          <w:szCs w:val="28"/>
        </w:rPr>
        <w:t xml:space="preserve">18 consists of that of a single witness who is also a co-perpetrator. Accordingly, that evidence is to be approached with caution. Thirdly, that the witness </w:t>
      </w:r>
      <w:r w:rsidR="00F720D4" w:rsidRPr="00376102">
        <w:rPr>
          <w:rFonts w:ascii="Arial Narrow" w:hAnsi="Arial Narrow"/>
          <w:sz w:val="28"/>
          <w:szCs w:val="28"/>
        </w:rPr>
        <w:t>Hanabe</w:t>
      </w:r>
      <w:r w:rsidRPr="00376102">
        <w:rPr>
          <w:rFonts w:ascii="Arial Narrow" w:hAnsi="Arial Narrow"/>
          <w:sz w:val="28"/>
          <w:szCs w:val="28"/>
        </w:rPr>
        <w:t xml:space="preserve"> made a favourable impression upon the magistrate. Finally, in regard to t</w:t>
      </w:r>
      <w:r w:rsidR="009B727A" w:rsidRPr="00376102">
        <w:rPr>
          <w:rFonts w:ascii="Arial Narrow" w:hAnsi="Arial Narrow"/>
          <w:sz w:val="28"/>
          <w:szCs w:val="28"/>
        </w:rPr>
        <w:t xml:space="preserve">he evaluation of the evidence, </w:t>
      </w:r>
      <w:r w:rsidR="00DD49F9">
        <w:rPr>
          <w:rFonts w:ascii="Arial Narrow" w:hAnsi="Arial Narrow"/>
          <w:sz w:val="28"/>
          <w:szCs w:val="28"/>
        </w:rPr>
        <w:t>t</w:t>
      </w:r>
      <w:r w:rsidRPr="00376102">
        <w:rPr>
          <w:rFonts w:ascii="Arial Narrow" w:hAnsi="Arial Narrow"/>
          <w:sz w:val="28"/>
          <w:szCs w:val="28"/>
        </w:rPr>
        <w:t xml:space="preserve">he discrepancy between the appellant’s version put to </w:t>
      </w:r>
      <w:r w:rsidR="002D4AB9" w:rsidRPr="00376102">
        <w:rPr>
          <w:rFonts w:ascii="Arial Narrow" w:hAnsi="Arial Narrow"/>
          <w:sz w:val="28"/>
          <w:szCs w:val="28"/>
        </w:rPr>
        <w:t>Jasie</w:t>
      </w:r>
      <w:r w:rsidRPr="00376102">
        <w:rPr>
          <w:rFonts w:ascii="Arial Narrow" w:hAnsi="Arial Narrow"/>
          <w:sz w:val="28"/>
          <w:szCs w:val="28"/>
        </w:rPr>
        <w:t xml:space="preserve"> and her evidence and the inherent improbabilities in the version of the appellant was central to the rejection of her version.</w:t>
      </w:r>
    </w:p>
    <w:p w:rsidR="009B727A" w:rsidRPr="00376102" w:rsidRDefault="009B727A" w:rsidP="00376102">
      <w:pPr>
        <w:pStyle w:val="ListParagraph"/>
        <w:spacing w:after="0" w:line="360" w:lineRule="auto"/>
        <w:jc w:val="both"/>
        <w:rPr>
          <w:rFonts w:ascii="Arial Narrow" w:hAnsi="Arial Narrow"/>
          <w:sz w:val="28"/>
          <w:szCs w:val="28"/>
        </w:rPr>
      </w:pPr>
    </w:p>
    <w:p w:rsidR="003B07B8" w:rsidRPr="00376102" w:rsidRDefault="003B07B8" w:rsidP="00376102">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 xml:space="preserve">Thus, notwithstanding that the </w:t>
      </w:r>
      <w:r w:rsidR="002D4AB9" w:rsidRPr="00376102">
        <w:rPr>
          <w:rFonts w:ascii="Arial Narrow" w:hAnsi="Arial Narrow"/>
          <w:sz w:val="28"/>
          <w:szCs w:val="28"/>
        </w:rPr>
        <w:t>judgment</w:t>
      </w:r>
      <w:r w:rsidRPr="00376102">
        <w:rPr>
          <w:rFonts w:ascii="Arial Narrow" w:hAnsi="Arial Narrow"/>
          <w:sz w:val="28"/>
          <w:szCs w:val="28"/>
        </w:rPr>
        <w:t xml:space="preserve"> is lacking in detail, it nevertheless sets out the magistrate’s central reasoning in reaching the conclusion which he did.</w:t>
      </w:r>
    </w:p>
    <w:p w:rsidR="009B727A" w:rsidRPr="00376102" w:rsidRDefault="009B727A" w:rsidP="00376102">
      <w:pPr>
        <w:pStyle w:val="ListParagraph"/>
        <w:spacing w:after="0" w:line="360" w:lineRule="auto"/>
        <w:jc w:val="both"/>
        <w:rPr>
          <w:rFonts w:ascii="Arial Narrow" w:hAnsi="Arial Narrow"/>
          <w:sz w:val="28"/>
          <w:szCs w:val="28"/>
        </w:rPr>
      </w:pPr>
    </w:p>
    <w:p w:rsidR="00881BBE" w:rsidRPr="00376102" w:rsidRDefault="003B07B8" w:rsidP="00376102">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A perusal o</w:t>
      </w:r>
      <w:r w:rsidR="009B727A" w:rsidRPr="00376102">
        <w:rPr>
          <w:rFonts w:ascii="Arial Narrow" w:hAnsi="Arial Narrow"/>
          <w:sz w:val="28"/>
          <w:szCs w:val="28"/>
        </w:rPr>
        <w:t>f the record indicates that there</w:t>
      </w:r>
      <w:r w:rsidRPr="00376102">
        <w:rPr>
          <w:rFonts w:ascii="Arial Narrow" w:hAnsi="Arial Narrow"/>
          <w:sz w:val="28"/>
          <w:szCs w:val="28"/>
        </w:rPr>
        <w:t xml:space="preserve"> was no dispute in regard to the </w:t>
      </w:r>
      <w:r w:rsidR="009B727A" w:rsidRPr="00376102">
        <w:rPr>
          <w:rFonts w:ascii="Arial Narrow" w:hAnsi="Arial Narrow"/>
          <w:sz w:val="28"/>
          <w:szCs w:val="28"/>
        </w:rPr>
        <w:t xml:space="preserve">principal </w:t>
      </w:r>
      <w:r w:rsidRPr="00376102">
        <w:rPr>
          <w:rFonts w:ascii="Arial Narrow" w:hAnsi="Arial Narrow"/>
          <w:sz w:val="28"/>
          <w:szCs w:val="28"/>
        </w:rPr>
        <w:t>facts. The appellant had plea</w:t>
      </w:r>
      <w:r w:rsidR="009B727A" w:rsidRPr="00376102">
        <w:rPr>
          <w:rFonts w:ascii="Arial Narrow" w:hAnsi="Arial Narrow"/>
          <w:sz w:val="28"/>
          <w:szCs w:val="28"/>
        </w:rPr>
        <w:t>ded guilty to counts 19 to</w:t>
      </w:r>
      <w:r w:rsidRPr="00376102">
        <w:rPr>
          <w:rFonts w:ascii="Arial Narrow" w:hAnsi="Arial Narrow"/>
          <w:sz w:val="28"/>
          <w:szCs w:val="28"/>
        </w:rPr>
        <w:t xml:space="preserve"> 22, which involved the creation of the identity of </w:t>
      </w:r>
      <w:r w:rsidR="009B727A" w:rsidRPr="00376102">
        <w:rPr>
          <w:rFonts w:ascii="Arial Narrow" w:hAnsi="Arial Narrow"/>
          <w:sz w:val="28"/>
          <w:szCs w:val="28"/>
        </w:rPr>
        <w:t>Luzipho Mthetho</w:t>
      </w:r>
      <w:r w:rsidRPr="00376102">
        <w:rPr>
          <w:rFonts w:ascii="Arial Narrow" w:hAnsi="Arial Narrow"/>
          <w:sz w:val="28"/>
          <w:szCs w:val="28"/>
        </w:rPr>
        <w:t xml:space="preserve"> and the consequent </w:t>
      </w:r>
      <w:r w:rsidR="009B727A" w:rsidRPr="00376102">
        <w:rPr>
          <w:rFonts w:ascii="Arial Narrow" w:hAnsi="Arial Narrow"/>
          <w:sz w:val="28"/>
          <w:szCs w:val="28"/>
        </w:rPr>
        <w:t>fraud</w:t>
      </w:r>
      <w:r w:rsidRPr="00376102">
        <w:rPr>
          <w:rFonts w:ascii="Arial Narrow" w:hAnsi="Arial Narrow"/>
          <w:sz w:val="28"/>
          <w:szCs w:val="28"/>
        </w:rPr>
        <w:t xml:space="preserve"> upon the insu</w:t>
      </w:r>
      <w:r w:rsidR="009B727A" w:rsidRPr="00376102">
        <w:rPr>
          <w:rFonts w:ascii="Arial Narrow" w:hAnsi="Arial Narrow"/>
          <w:sz w:val="28"/>
          <w:szCs w:val="28"/>
        </w:rPr>
        <w:t>rance company. In this regard t</w:t>
      </w:r>
      <w:r w:rsidRPr="00376102">
        <w:rPr>
          <w:rFonts w:ascii="Arial Narrow" w:hAnsi="Arial Narrow"/>
          <w:sz w:val="28"/>
          <w:szCs w:val="28"/>
        </w:rPr>
        <w:t xml:space="preserve">he appellant admitted that she made common cause with </w:t>
      </w:r>
      <w:r w:rsidR="00F720D4" w:rsidRPr="00376102">
        <w:rPr>
          <w:rFonts w:ascii="Arial Narrow" w:hAnsi="Arial Narrow"/>
          <w:sz w:val="28"/>
          <w:szCs w:val="28"/>
        </w:rPr>
        <w:t>Hanabe</w:t>
      </w:r>
      <w:r w:rsidR="009B727A" w:rsidRPr="00376102">
        <w:rPr>
          <w:rFonts w:ascii="Arial Narrow" w:hAnsi="Arial Narrow"/>
          <w:sz w:val="28"/>
          <w:szCs w:val="28"/>
        </w:rPr>
        <w:t>. The s</w:t>
      </w:r>
      <w:r w:rsidRPr="00376102">
        <w:rPr>
          <w:rFonts w:ascii="Arial Narrow" w:hAnsi="Arial Narrow"/>
          <w:sz w:val="28"/>
          <w:szCs w:val="28"/>
        </w:rPr>
        <w:t xml:space="preserve"> 220 admissions made by the appellant in relation to the remaining charges contained admissions detailing every fact alleged by the state in relation to those charges except</w:t>
      </w:r>
      <w:r w:rsidR="00881BBE" w:rsidRPr="00376102">
        <w:rPr>
          <w:rFonts w:ascii="Arial Narrow" w:hAnsi="Arial Narrow"/>
          <w:sz w:val="28"/>
          <w:szCs w:val="28"/>
        </w:rPr>
        <w:t xml:space="preserve"> the allegation that </w:t>
      </w:r>
      <w:r w:rsidR="00F720D4" w:rsidRPr="00376102">
        <w:rPr>
          <w:rFonts w:ascii="Arial Narrow" w:hAnsi="Arial Narrow"/>
          <w:sz w:val="28"/>
          <w:szCs w:val="28"/>
        </w:rPr>
        <w:t>Hanabe</w:t>
      </w:r>
      <w:r w:rsidR="00881BBE" w:rsidRPr="00376102">
        <w:rPr>
          <w:rFonts w:ascii="Arial Narrow" w:hAnsi="Arial Narrow"/>
          <w:sz w:val="28"/>
          <w:szCs w:val="28"/>
        </w:rPr>
        <w:t xml:space="preserve"> and the appellant acted with a common purpose. Accordingly the </w:t>
      </w:r>
      <w:r w:rsidR="00881BBE" w:rsidRPr="00376102">
        <w:rPr>
          <w:rFonts w:ascii="Arial Narrow" w:hAnsi="Arial Narrow"/>
          <w:i/>
          <w:sz w:val="28"/>
          <w:szCs w:val="28"/>
        </w:rPr>
        <w:t>modus operandi</w:t>
      </w:r>
      <w:r w:rsidR="00881BBE" w:rsidRPr="00376102">
        <w:rPr>
          <w:rFonts w:ascii="Arial Narrow" w:hAnsi="Arial Narrow"/>
          <w:sz w:val="28"/>
          <w:szCs w:val="28"/>
        </w:rPr>
        <w:t xml:space="preserve"> used to create the fictitious identities; to procure insurance cover, and thereafter</w:t>
      </w:r>
      <w:r w:rsidR="009B727A" w:rsidRPr="00376102">
        <w:rPr>
          <w:rFonts w:ascii="Arial Narrow" w:hAnsi="Arial Narrow"/>
          <w:sz w:val="28"/>
          <w:szCs w:val="28"/>
        </w:rPr>
        <w:t xml:space="preserve"> to register the fictitious death </w:t>
      </w:r>
      <w:r w:rsidR="00881BBE" w:rsidRPr="00376102">
        <w:rPr>
          <w:rFonts w:ascii="Arial Narrow" w:hAnsi="Arial Narrow"/>
          <w:sz w:val="28"/>
          <w:szCs w:val="28"/>
        </w:rPr>
        <w:t xml:space="preserve">and claim from the insurance company was admitted for each group of charges. The appellant admitted the particular documents utilised in each of those instances. The significance of these admissions, which need not </w:t>
      </w:r>
      <w:r w:rsidR="009B727A" w:rsidRPr="00376102">
        <w:rPr>
          <w:rFonts w:ascii="Arial Narrow" w:hAnsi="Arial Narrow"/>
          <w:sz w:val="28"/>
          <w:szCs w:val="28"/>
        </w:rPr>
        <w:t>be repeated here, is that the fu</w:t>
      </w:r>
      <w:r w:rsidR="00881BBE" w:rsidRPr="00376102">
        <w:rPr>
          <w:rFonts w:ascii="Arial Narrow" w:hAnsi="Arial Narrow"/>
          <w:sz w:val="28"/>
          <w:szCs w:val="28"/>
        </w:rPr>
        <w:t>ll sequence of the commission of the offences and the use of the appellant’s cell phone number on the police reports</w:t>
      </w:r>
      <w:r w:rsidR="009B727A" w:rsidRPr="00376102">
        <w:rPr>
          <w:rFonts w:ascii="Arial Narrow" w:hAnsi="Arial Narrow"/>
          <w:sz w:val="28"/>
          <w:szCs w:val="28"/>
        </w:rPr>
        <w:t xml:space="preserve"> i</w:t>
      </w:r>
      <w:r w:rsidR="00881BBE" w:rsidRPr="00376102">
        <w:rPr>
          <w:rFonts w:ascii="Arial Narrow" w:hAnsi="Arial Narrow"/>
          <w:sz w:val="28"/>
          <w:szCs w:val="28"/>
        </w:rPr>
        <w:t xml:space="preserve">n each such instance was </w:t>
      </w:r>
      <w:r w:rsidR="006A5F4A" w:rsidRPr="00376102">
        <w:rPr>
          <w:rFonts w:ascii="Arial Narrow" w:hAnsi="Arial Narrow"/>
          <w:sz w:val="28"/>
          <w:szCs w:val="28"/>
        </w:rPr>
        <w:t>not in dispute.</w:t>
      </w:r>
    </w:p>
    <w:p w:rsidR="006A5F4A" w:rsidRPr="00376102" w:rsidRDefault="006A5F4A" w:rsidP="00376102">
      <w:pPr>
        <w:pStyle w:val="ListParagraph"/>
        <w:spacing w:after="0" w:line="360" w:lineRule="auto"/>
        <w:jc w:val="both"/>
        <w:rPr>
          <w:rFonts w:ascii="Arial Narrow" w:hAnsi="Arial Narrow"/>
          <w:sz w:val="28"/>
          <w:szCs w:val="28"/>
        </w:rPr>
      </w:pPr>
    </w:p>
    <w:p w:rsidR="00881BBE" w:rsidRPr="00376102" w:rsidRDefault="00881BBE" w:rsidP="00376102">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The only disputed issue which needed to be determined at trial was that relating to the claim made by Ha</w:t>
      </w:r>
      <w:r w:rsidR="006A5F4A" w:rsidRPr="00376102">
        <w:rPr>
          <w:rFonts w:ascii="Arial Narrow" w:hAnsi="Arial Narrow"/>
          <w:sz w:val="28"/>
          <w:szCs w:val="28"/>
        </w:rPr>
        <w:t>nabe</w:t>
      </w:r>
      <w:r w:rsidRPr="00376102">
        <w:rPr>
          <w:rFonts w:ascii="Arial Narrow" w:hAnsi="Arial Narrow"/>
          <w:sz w:val="28"/>
          <w:szCs w:val="28"/>
        </w:rPr>
        <w:t xml:space="preserve"> that the appellant</w:t>
      </w:r>
      <w:r w:rsidR="006A5F4A" w:rsidRPr="00376102">
        <w:rPr>
          <w:rFonts w:ascii="Arial Narrow" w:hAnsi="Arial Narrow"/>
          <w:sz w:val="28"/>
          <w:szCs w:val="28"/>
        </w:rPr>
        <w:t xml:space="preserve"> was involved from the outset i</w:t>
      </w:r>
      <w:r w:rsidRPr="00376102">
        <w:rPr>
          <w:rFonts w:ascii="Arial Narrow" w:hAnsi="Arial Narrow"/>
          <w:sz w:val="28"/>
          <w:szCs w:val="28"/>
        </w:rPr>
        <w:t>n each of the instances in which a fictitious identity was created and an insurance claim submitted. In other words, that they had acted in concert in pursuance of a common purpose.</w:t>
      </w:r>
    </w:p>
    <w:p w:rsidR="006A5F4A" w:rsidRPr="00376102" w:rsidRDefault="006A5F4A" w:rsidP="00376102">
      <w:pPr>
        <w:pStyle w:val="ListParagraph"/>
        <w:spacing w:after="0" w:line="360" w:lineRule="auto"/>
        <w:jc w:val="both"/>
        <w:rPr>
          <w:rFonts w:ascii="Arial Narrow" w:hAnsi="Arial Narrow"/>
          <w:sz w:val="28"/>
          <w:szCs w:val="28"/>
        </w:rPr>
      </w:pPr>
    </w:p>
    <w:p w:rsidR="00881BBE" w:rsidRPr="00376102" w:rsidRDefault="00881BBE" w:rsidP="00376102">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Mr Price, for the appe</w:t>
      </w:r>
      <w:r w:rsidR="006A5F4A" w:rsidRPr="00376102">
        <w:rPr>
          <w:rFonts w:ascii="Arial Narrow" w:hAnsi="Arial Narrow"/>
          <w:sz w:val="28"/>
          <w:szCs w:val="28"/>
        </w:rPr>
        <w:t xml:space="preserve">llant, argued that the court </w:t>
      </w:r>
      <w:r w:rsidR="006A5F4A" w:rsidRPr="00376102">
        <w:rPr>
          <w:rFonts w:ascii="Arial Narrow" w:hAnsi="Arial Narrow"/>
          <w:i/>
          <w:sz w:val="28"/>
          <w:szCs w:val="28"/>
        </w:rPr>
        <w:t>a</w:t>
      </w:r>
      <w:r w:rsidRPr="00376102">
        <w:rPr>
          <w:rFonts w:ascii="Arial Narrow" w:hAnsi="Arial Narrow"/>
          <w:i/>
          <w:sz w:val="28"/>
          <w:szCs w:val="28"/>
        </w:rPr>
        <w:t xml:space="preserve"> quo</w:t>
      </w:r>
      <w:r w:rsidRPr="00376102">
        <w:rPr>
          <w:rFonts w:ascii="Arial Narrow" w:hAnsi="Arial Narrow"/>
          <w:sz w:val="28"/>
          <w:szCs w:val="28"/>
        </w:rPr>
        <w:t xml:space="preserve"> was wrong to accept the evidence of </w:t>
      </w:r>
      <w:r w:rsidR="006A5F4A" w:rsidRPr="00376102">
        <w:rPr>
          <w:rFonts w:ascii="Arial Narrow" w:hAnsi="Arial Narrow"/>
          <w:sz w:val="28"/>
          <w:szCs w:val="28"/>
        </w:rPr>
        <w:t>Hanabe</w:t>
      </w:r>
      <w:r w:rsidRPr="00376102">
        <w:rPr>
          <w:rFonts w:ascii="Arial Narrow" w:hAnsi="Arial Narrow"/>
          <w:sz w:val="28"/>
          <w:szCs w:val="28"/>
        </w:rPr>
        <w:t xml:space="preserve">. He submitted that </w:t>
      </w:r>
      <w:r w:rsidR="00F720D4" w:rsidRPr="00376102">
        <w:rPr>
          <w:rFonts w:ascii="Arial Narrow" w:hAnsi="Arial Narrow"/>
          <w:sz w:val="28"/>
          <w:szCs w:val="28"/>
        </w:rPr>
        <w:t>Hanabe</w:t>
      </w:r>
      <w:r w:rsidRPr="00376102">
        <w:rPr>
          <w:rFonts w:ascii="Arial Narrow" w:hAnsi="Arial Narrow"/>
          <w:sz w:val="28"/>
          <w:szCs w:val="28"/>
        </w:rPr>
        <w:t xml:space="preserve"> was a poor witness, whose evidence was “in tatters”</w:t>
      </w:r>
      <w:r w:rsidR="006A5F4A" w:rsidRPr="00376102">
        <w:rPr>
          <w:rFonts w:ascii="Arial Narrow" w:hAnsi="Arial Narrow"/>
          <w:sz w:val="28"/>
          <w:szCs w:val="28"/>
        </w:rPr>
        <w:t xml:space="preserve"> following cross-</w:t>
      </w:r>
      <w:r w:rsidRPr="00376102">
        <w:rPr>
          <w:rFonts w:ascii="Arial Narrow" w:hAnsi="Arial Narrow"/>
          <w:sz w:val="28"/>
          <w:szCs w:val="28"/>
        </w:rPr>
        <w:t>examination. A readin</w:t>
      </w:r>
      <w:r w:rsidR="006A5F4A" w:rsidRPr="00376102">
        <w:rPr>
          <w:rFonts w:ascii="Arial Narrow" w:hAnsi="Arial Narrow"/>
          <w:sz w:val="28"/>
          <w:szCs w:val="28"/>
        </w:rPr>
        <w:t>g of the relatively short cross-</w:t>
      </w:r>
      <w:r w:rsidRPr="00376102">
        <w:rPr>
          <w:rFonts w:ascii="Arial Narrow" w:hAnsi="Arial Narrow"/>
          <w:sz w:val="28"/>
          <w:szCs w:val="28"/>
        </w:rPr>
        <w:t xml:space="preserve">examination of </w:t>
      </w:r>
      <w:r w:rsidR="006A5F4A" w:rsidRPr="00376102">
        <w:rPr>
          <w:rFonts w:ascii="Arial Narrow" w:hAnsi="Arial Narrow"/>
          <w:sz w:val="28"/>
          <w:szCs w:val="28"/>
        </w:rPr>
        <w:t>Hanabe</w:t>
      </w:r>
      <w:r w:rsidRPr="00376102">
        <w:rPr>
          <w:rFonts w:ascii="Arial Narrow" w:hAnsi="Arial Narrow"/>
          <w:sz w:val="28"/>
          <w:szCs w:val="28"/>
        </w:rPr>
        <w:t xml:space="preserve"> by the appellant’s attorney, Mr </w:t>
      </w:r>
      <w:r w:rsidR="006A5F4A" w:rsidRPr="00376102">
        <w:rPr>
          <w:rFonts w:ascii="Arial Narrow" w:hAnsi="Arial Narrow"/>
          <w:sz w:val="28"/>
          <w:szCs w:val="28"/>
        </w:rPr>
        <w:t>Griebenouw, does not indicate a witness whose version wa</w:t>
      </w:r>
      <w:r w:rsidRPr="00376102">
        <w:rPr>
          <w:rFonts w:ascii="Arial Narrow" w:hAnsi="Arial Narrow"/>
          <w:sz w:val="28"/>
          <w:szCs w:val="28"/>
        </w:rPr>
        <w:t>s “in tatters”. On the contrary, the record reflects a witness whose evidence and version of events remained consistent throughout. She was unmoved in her testimony that in each of the instances in which a fraudul</w:t>
      </w:r>
      <w:r w:rsidR="006A5F4A" w:rsidRPr="00376102">
        <w:rPr>
          <w:rFonts w:ascii="Arial Narrow" w:hAnsi="Arial Narrow"/>
          <w:sz w:val="28"/>
          <w:szCs w:val="28"/>
        </w:rPr>
        <w:t>ent identity was created, i</w:t>
      </w:r>
      <w:r w:rsidRPr="00376102">
        <w:rPr>
          <w:rFonts w:ascii="Arial Narrow" w:hAnsi="Arial Narrow"/>
          <w:sz w:val="28"/>
          <w:szCs w:val="28"/>
        </w:rPr>
        <w:t>t was created with the knowledge and assistance of the appellant. She conceded that her user ID was used and that she took out the ins</w:t>
      </w:r>
      <w:r w:rsidR="006A5F4A" w:rsidRPr="00376102">
        <w:rPr>
          <w:rFonts w:ascii="Arial Narrow" w:hAnsi="Arial Narrow"/>
          <w:sz w:val="28"/>
          <w:szCs w:val="28"/>
        </w:rPr>
        <w:t>urance policies in relation to four</w:t>
      </w:r>
      <w:r w:rsidRPr="00376102">
        <w:rPr>
          <w:rFonts w:ascii="Arial Narrow" w:hAnsi="Arial Narrow"/>
          <w:sz w:val="28"/>
          <w:szCs w:val="28"/>
        </w:rPr>
        <w:t xml:space="preserve"> of the five instances and that the </w:t>
      </w:r>
      <w:r w:rsidR="006A5F4A" w:rsidRPr="00376102">
        <w:rPr>
          <w:rFonts w:ascii="Arial Narrow" w:hAnsi="Arial Narrow"/>
          <w:sz w:val="28"/>
          <w:szCs w:val="28"/>
        </w:rPr>
        <w:t xml:space="preserve">claim monies were paid into her </w:t>
      </w:r>
      <w:r w:rsidRPr="00376102">
        <w:rPr>
          <w:rFonts w:ascii="Arial Narrow" w:hAnsi="Arial Narrow"/>
          <w:sz w:val="28"/>
          <w:szCs w:val="28"/>
        </w:rPr>
        <w:t xml:space="preserve">bank account. </w:t>
      </w:r>
      <w:r w:rsidR="006A5F4A" w:rsidRPr="00376102">
        <w:rPr>
          <w:rFonts w:ascii="Arial Narrow" w:hAnsi="Arial Narrow"/>
          <w:sz w:val="28"/>
          <w:szCs w:val="28"/>
        </w:rPr>
        <w:t>She remained adamant h</w:t>
      </w:r>
      <w:r w:rsidRPr="00376102">
        <w:rPr>
          <w:rFonts w:ascii="Arial Narrow" w:hAnsi="Arial Narrow"/>
          <w:sz w:val="28"/>
          <w:szCs w:val="28"/>
        </w:rPr>
        <w:t>owever, that the proceeds of the fraud was shared between her and the appellant and that the appellant was an ac</w:t>
      </w:r>
      <w:r w:rsidR="006A5F4A" w:rsidRPr="00376102">
        <w:rPr>
          <w:rFonts w:ascii="Arial Narrow" w:hAnsi="Arial Narrow"/>
          <w:sz w:val="28"/>
          <w:szCs w:val="28"/>
        </w:rPr>
        <w:t xml:space="preserve">tive participant in each </w:t>
      </w:r>
      <w:r w:rsidRPr="00376102">
        <w:rPr>
          <w:rFonts w:ascii="Arial Narrow" w:hAnsi="Arial Narrow"/>
          <w:sz w:val="28"/>
          <w:szCs w:val="28"/>
        </w:rPr>
        <w:t>instance.</w:t>
      </w:r>
    </w:p>
    <w:p w:rsidR="006A5F4A" w:rsidRPr="00376102" w:rsidRDefault="006A5F4A" w:rsidP="00376102">
      <w:pPr>
        <w:pStyle w:val="ListParagraph"/>
        <w:spacing w:after="0" w:line="360" w:lineRule="auto"/>
        <w:jc w:val="both"/>
        <w:rPr>
          <w:rFonts w:ascii="Arial Narrow" w:hAnsi="Arial Narrow"/>
          <w:sz w:val="28"/>
          <w:szCs w:val="28"/>
        </w:rPr>
      </w:pPr>
    </w:p>
    <w:p w:rsidR="00881BBE" w:rsidRPr="00376102" w:rsidRDefault="00881BBE" w:rsidP="00376102">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 xml:space="preserve">A careful reading of the record indicates that no serious criticism can be levelled at </w:t>
      </w:r>
      <w:r w:rsidR="006A5F4A" w:rsidRPr="00376102">
        <w:rPr>
          <w:rFonts w:ascii="Arial Narrow" w:hAnsi="Arial Narrow"/>
          <w:sz w:val="28"/>
          <w:szCs w:val="28"/>
        </w:rPr>
        <w:t xml:space="preserve">Hanabe’s </w:t>
      </w:r>
      <w:r w:rsidRPr="00376102">
        <w:rPr>
          <w:rFonts w:ascii="Arial Narrow" w:hAnsi="Arial Narrow"/>
          <w:sz w:val="28"/>
          <w:szCs w:val="28"/>
        </w:rPr>
        <w:t xml:space="preserve">evidence. It is clear from the magistrate’s </w:t>
      </w:r>
      <w:r w:rsidR="002D4AB9" w:rsidRPr="00376102">
        <w:rPr>
          <w:rFonts w:ascii="Arial Narrow" w:hAnsi="Arial Narrow"/>
          <w:sz w:val="28"/>
          <w:szCs w:val="28"/>
        </w:rPr>
        <w:t>judgment</w:t>
      </w:r>
      <w:r w:rsidRPr="00376102">
        <w:rPr>
          <w:rFonts w:ascii="Arial Narrow" w:hAnsi="Arial Narrow"/>
          <w:sz w:val="28"/>
          <w:szCs w:val="28"/>
        </w:rPr>
        <w:t xml:space="preserve"> that the magistrate found </w:t>
      </w:r>
      <w:r w:rsidR="006A5F4A" w:rsidRPr="00376102">
        <w:rPr>
          <w:rFonts w:ascii="Arial Narrow" w:hAnsi="Arial Narrow"/>
          <w:sz w:val="28"/>
          <w:szCs w:val="28"/>
        </w:rPr>
        <w:t>her</w:t>
      </w:r>
      <w:r w:rsidRPr="00376102">
        <w:rPr>
          <w:rFonts w:ascii="Arial Narrow" w:hAnsi="Arial Narrow"/>
          <w:sz w:val="28"/>
          <w:szCs w:val="28"/>
        </w:rPr>
        <w:t xml:space="preserve"> to be credible. Such finding will not readily be ignored on appeal.</w:t>
      </w:r>
    </w:p>
    <w:p w:rsidR="006A5F4A" w:rsidRPr="00376102" w:rsidRDefault="006A5F4A" w:rsidP="00376102">
      <w:pPr>
        <w:pStyle w:val="ListParagraph"/>
        <w:spacing w:after="0" w:line="360" w:lineRule="auto"/>
        <w:jc w:val="both"/>
        <w:rPr>
          <w:rFonts w:ascii="Arial Narrow" w:hAnsi="Arial Narrow"/>
          <w:sz w:val="28"/>
          <w:szCs w:val="28"/>
        </w:rPr>
      </w:pPr>
    </w:p>
    <w:p w:rsidR="00881BBE" w:rsidRPr="00376102" w:rsidRDefault="00881BBE" w:rsidP="00376102">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The magistrate considered the shift in the appellant’</w:t>
      </w:r>
      <w:r w:rsidR="006A5F4A" w:rsidRPr="00376102">
        <w:rPr>
          <w:rFonts w:ascii="Arial Narrow" w:hAnsi="Arial Narrow"/>
          <w:sz w:val="28"/>
          <w:szCs w:val="28"/>
        </w:rPr>
        <w:t>s version i</w:t>
      </w:r>
      <w:r w:rsidRPr="00376102">
        <w:rPr>
          <w:rFonts w:ascii="Arial Narrow" w:hAnsi="Arial Narrow"/>
          <w:sz w:val="28"/>
          <w:szCs w:val="28"/>
        </w:rPr>
        <w:t xml:space="preserve">n relation to the witness </w:t>
      </w:r>
      <w:r w:rsidR="002D4AB9" w:rsidRPr="00376102">
        <w:rPr>
          <w:rFonts w:ascii="Arial Narrow" w:hAnsi="Arial Narrow"/>
          <w:sz w:val="28"/>
          <w:szCs w:val="28"/>
        </w:rPr>
        <w:t>Jasie</w:t>
      </w:r>
      <w:r w:rsidRPr="00376102">
        <w:rPr>
          <w:rFonts w:ascii="Arial Narrow" w:hAnsi="Arial Narrow"/>
          <w:sz w:val="28"/>
          <w:szCs w:val="28"/>
        </w:rPr>
        <w:t xml:space="preserve"> to be important. </w:t>
      </w:r>
      <w:r w:rsidR="002D4AB9" w:rsidRPr="00376102">
        <w:rPr>
          <w:rFonts w:ascii="Arial Narrow" w:hAnsi="Arial Narrow"/>
          <w:sz w:val="28"/>
          <w:szCs w:val="28"/>
        </w:rPr>
        <w:t>Jasie</w:t>
      </w:r>
      <w:r w:rsidRPr="00376102">
        <w:rPr>
          <w:rFonts w:ascii="Arial Narrow" w:hAnsi="Arial Narrow"/>
          <w:sz w:val="28"/>
          <w:szCs w:val="28"/>
        </w:rPr>
        <w:t xml:space="preserve"> was an undertaker operating a funeral service. </w:t>
      </w:r>
      <w:r w:rsidR="002D4AB9" w:rsidRPr="00376102">
        <w:rPr>
          <w:rFonts w:ascii="Arial Narrow" w:hAnsi="Arial Narrow"/>
          <w:sz w:val="28"/>
          <w:szCs w:val="28"/>
        </w:rPr>
        <w:t>Jasie</w:t>
      </w:r>
      <w:r w:rsidRPr="00376102">
        <w:rPr>
          <w:rFonts w:ascii="Arial Narrow" w:hAnsi="Arial Narrow"/>
          <w:sz w:val="28"/>
          <w:szCs w:val="28"/>
        </w:rPr>
        <w:t xml:space="preserve"> and the appellant knew each other before </w:t>
      </w:r>
      <w:r w:rsidR="002D4AB9" w:rsidRPr="00376102">
        <w:rPr>
          <w:rFonts w:ascii="Arial Narrow" w:hAnsi="Arial Narrow"/>
          <w:sz w:val="28"/>
          <w:szCs w:val="28"/>
        </w:rPr>
        <w:t>Jasie</w:t>
      </w:r>
      <w:r w:rsidRPr="00376102">
        <w:rPr>
          <w:rFonts w:ascii="Arial Narrow" w:hAnsi="Arial Narrow"/>
          <w:sz w:val="28"/>
          <w:szCs w:val="28"/>
        </w:rPr>
        <w:t xml:space="preserve"> met </w:t>
      </w:r>
      <w:r w:rsidR="00F720D4" w:rsidRPr="00376102">
        <w:rPr>
          <w:rFonts w:ascii="Arial Narrow" w:hAnsi="Arial Narrow"/>
          <w:sz w:val="28"/>
          <w:szCs w:val="28"/>
        </w:rPr>
        <w:t>Hanabe</w:t>
      </w:r>
      <w:r w:rsidRPr="00376102">
        <w:rPr>
          <w:rFonts w:ascii="Arial Narrow" w:hAnsi="Arial Narrow"/>
          <w:sz w:val="28"/>
          <w:szCs w:val="28"/>
        </w:rPr>
        <w:t>. It was commo</w:t>
      </w:r>
      <w:r w:rsidR="002F065F" w:rsidRPr="00376102">
        <w:rPr>
          <w:rFonts w:ascii="Arial Narrow" w:hAnsi="Arial Narrow"/>
          <w:sz w:val="28"/>
          <w:szCs w:val="28"/>
        </w:rPr>
        <w:t xml:space="preserve">n cause that in relation to </w:t>
      </w:r>
      <w:r w:rsidRPr="00376102">
        <w:rPr>
          <w:rFonts w:ascii="Arial Narrow" w:hAnsi="Arial Narrow"/>
          <w:sz w:val="28"/>
          <w:szCs w:val="28"/>
        </w:rPr>
        <w:t>several counts in respect of which the appellant did not plead guilty and denied involvement</w:t>
      </w:r>
      <w:r w:rsidR="002F065F" w:rsidRPr="00376102">
        <w:rPr>
          <w:rFonts w:ascii="Arial Narrow" w:hAnsi="Arial Narrow"/>
          <w:sz w:val="28"/>
          <w:szCs w:val="28"/>
        </w:rPr>
        <w:t>,</w:t>
      </w:r>
      <w:r w:rsidRPr="00376102">
        <w:rPr>
          <w:rFonts w:ascii="Arial Narrow" w:hAnsi="Arial Narrow"/>
          <w:sz w:val="28"/>
          <w:szCs w:val="28"/>
        </w:rPr>
        <w:t xml:space="preserve"> that </w:t>
      </w:r>
      <w:r w:rsidR="002D4AB9" w:rsidRPr="00376102">
        <w:rPr>
          <w:rFonts w:ascii="Arial Narrow" w:hAnsi="Arial Narrow"/>
          <w:sz w:val="28"/>
          <w:szCs w:val="28"/>
        </w:rPr>
        <w:t>Jasie</w:t>
      </w:r>
      <w:r w:rsidRPr="00376102">
        <w:rPr>
          <w:rFonts w:ascii="Arial Narrow" w:hAnsi="Arial Narrow"/>
          <w:sz w:val="28"/>
          <w:szCs w:val="28"/>
        </w:rPr>
        <w:t xml:space="preserve"> had provided details of </w:t>
      </w:r>
      <w:r w:rsidR="002F065F" w:rsidRPr="00376102">
        <w:rPr>
          <w:rFonts w:ascii="Arial Narrow" w:hAnsi="Arial Narrow"/>
          <w:sz w:val="28"/>
          <w:szCs w:val="28"/>
        </w:rPr>
        <w:t>the death</w:t>
      </w:r>
      <w:r w:rsidRPr="00376102">
        <w:rPr>
          <w:rFonts w:ascii="Arial Narrow" w:hAnsi="Arial Narrow"/>
          <w:sz w:val="28"/>
          <w:szCs w:val="28"/>
        </w:rPr>
        <w:t xml:space="preserve"> on the official </w:t>
      </w:r>
      <w:r w:rsidR="002F065F" w:rsidRPr="00376102">
        <w:rPr>
          <w:rFonts w:ascii="Arial Narrow" w:hAnsi="Arial Narrow"/>
          <w:sz w:val="28"/>
          <w:szCs w:val="28"/>
        </w:rPr>
        <w:t>BI</w:t>
      </w:r>
      <w:r w:rsidRPr="00376102">
        <w:rPr>
          <w:rFonts w:ascii="Arial Narrow" w:hAnsi="Arial Narrow"/>
          <w:sz w:val="28"/>
          <w:szCs w:val="28"/>
        </w:rPr>
        <w:t xml:space="preserve">16634 utilised by the Department for the registration of a </w:t>
      </w:r>
      <w:r w:rsidR="002F065F" w:rsidRPr="00376102">
        <w:rPr>
          <w:rFonts w:ascii="Arial Narrow" w:hAnsi="Arial Narrow"/>
          <w:sz w:val="28"/>
          <w:szCs w:val="28"/>
        </w:rPr>
        <w:t>death</w:t>
      </w:r>
      <w:r w:rsidRPr="00376102">
        <w:rPr>
          <w:rFonts w:ascii="Arial Narrow" w:hAnsi="Arial Narrow"/>
          <w:sz w:val="28"/>
          <w:szCs w:val="28"/>
        </w:rPr>
        <w:t xml:space="preserve">. It was </w:t>
      </w:r>
      <w:r w:rsidR="002D4AB9" w:rsidRPr="00376102">
        <w:rPr>
          <w:rFonts w:ascii="Arial Narrow" w:hAnsi="Arial Narrow"/>
          <w:sz w:val="28"/>
          <w:szCs w:val="28"/>
        </w:rPr>
        <w:t>Jasie</w:t>
      </w:r>
      <w:r w:rsidRPr="00376102">
        <w:rPr>
          <w:rFonts w:ascii="Arial Narrow" w:hAnsi="Arial Narrow"/>
          <w:sz w:val="28"/>
          <w:szCs w:val="28"/>
        </w:rPr>
        <w:t xml:space="preserve">’s evidence that the appellant had contacted him and told him to come to the Home Affairs offices where he was introduced to </w:t>
      </w:r>
      <w:r w:rsidR="00F720D4" w:rsidRPr="00376102">
        <w:rPr>
          <w:rFonts w:ascii="Arial Narrow" w:hAnsi="Arial Narrow"/>
          <w:sz w:val="28"/>
          <w:szCs w:val="28"/>
        </w:rPr>
        <w:t>Hanabe</w:t>
      </w:r>
      <w:r w:rsidRPr="00376102">
        <w:rPr>
          <w:rFonts w:ascii="Arial Narrow" w:hAnsi="Arial Narrow"/>
          <w:sz w:val="28"/>
          <w:szCs w:val="28"/>
        </w:rPr>
        <w:t xml:space="preserve">. This was to assist </w:t>
      </w:r>
      <w:r w:rsidR="006A5F4A" w:rsidRPr="00376102">
        <w:rPr>
          <w:rFonts w:ascii="Arial Narrow" w:hAnsi="Arial Narrow"/>
          <w:sz w:val="28"/>
          <w:szCs w:val="28"/>
        </w:rPr>
        <w:t>Hanabe</w:t>
      </w:r>
      <w:r w:rsidRPr="00376102">
        <w:rPr>
          <w:rFonts w:ascii="Arial Narrow" w:hAnsi="Arial Narrow"/>
          <w:sz w:val="28"/>
          <w:szCs w:val="28"/>
        </w:rPr>
        <w:t xml:space="preserve"> with the </w:t>
      </w:r>
      <w:r w:rsidR="002F065F" w:rsidRPr="00376102">
        <w:rPr>
          <w:rFonts w:ascii="Arial Narrow" w:hAnsi="Arial Narrow"/>
          <w:sz w:val="28"/>
          <w:szCs w:val="28"/>
        </w:rPr>
        <w:t>provision of information on a B</w:t>
      </w:r>
      <w:r w:rsidRPr="00376102">
        <w:rPr>
          <w:rFonts w:ascii="Arial Narrow" w:hAnsi="Arial Narrow"/>
          <w:sz w:val="28"/>
          <w:szCs w:val="28"/>
        </w:rPr>
        <w:t>I 16634.</w:t>
      </w:r>
    </w:p>
    <w:p w:rsidR="002F065F" w:rsidRDefault="002F065F" w:rsidP="002F065F">
      <w:pPr>
        <w:pStyle w:val="ListParagraph"/>
        <w:spacing w:after="0" w:line="240" w:lineRule="auto"/>
        <w:jc w:val="both"/>
        <w:rPr>
          <w:rFonts w:ascii="Arial Narrow" w:hAnsi="Arial Narrow"/>
        </w:rPr>
      </w:pPr>
    </w:p>
    <w:p w:rsidR="00881BBE" w:rsidRPr="00376102" w:rsidRDefault="002F065F" w:rsidP="00376102">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In cross-</w:t>
      </w:r>
      <w:r w:rsidR="00881BBE" w:rsidRPr="00376102">
        <w:rPr>
          <w:rFonts w:ascii="Arial Narrow" w:hAnsi="Arial Narrow"/>
          <w:sz w:val="28"/>
          <w:szCs w:val="28"/>
        </w:rPr>
        <w:t xml:space="preserve">examination of </w:t>
      </w:r>
      <w:r w:rsidR="002D4AB9" w:rsidRPr="00376102">
        <w:rPr>
          <w:rFonts w:ascii="Arial Narrow" w:hAnsi="Arial Narrow"/>
          <w:sz w:val="28"/>
          <w:szCs w:val="28"/>
        </w:rPr>
        <w:t>Jasie</w:t>
      </w:r>
      <w:r w:rsidR="00881BBE" w:rsidRPr="00376102">
        <w:rPr>
          <w:rFonts w:ascii="Arial Narrow" w:hAnsi="Arial Narrow"/>
          <w:sz w:val="28"/>
          <w:szCs w:val="28"/>
        </w:rPr>
        <w:t xml:space="preserve"> it was stated that the appellant’s instruction was that:</w:t>
      </w:r>
    </w:p>
    <w:p w:rsidR="002F065F" w:rsidRDefault="002F065F" w:rsidP="002F065F">
      <w:pPr>
        <w:pStyle w:val="ListParagraph"/>
        <w:spacing w:after="0" w:line="240" w:lineRule="auto"/>
        <w:ind w:left="1440"/>
        <w:jc w:val="both"/>
        <w:rPr>
          <w:rFonts w:ascii="Arial Narrow" w:hAnsi="Arial Narrow"/>
        </w:rPr>
      </w:pPr>
    </w:p>
    <w:p w:rsidR="00881BBE" w:rsidRDefault="002F065F" w:rsidP="002F065F">
      <w:pPr>
        <w:pStyle w:val="ListParagraph"/>
        <w:spacing w:after="0" w:line="240" w:lineRule="auto"/>
        <w:ind w:left="1440"/>
        <w:jc w:val="both"/>
        <w:rPr>
          <w:rFonts w:ascii="Arial Narrow" w:hAnsi="Arial Narrow"/>
        </w:rPr>
      </w:pPr>
      <w:r>
        <w:rPr>
          <w:rFonts w:ascii="Arial Narrow" w:hAnsi="Arial Narrow"/>
        </w:rPr>
        <w:t>S</w:t>
      </w:r>
      <w:r w:rsidR="00881BBE">
        <w:rPr>
          <w:rFonts w:ascii="Arial Narrow" w:hAnsi="Arial Narrow"/>
        </w:rPr>
        <w:t xml:space="preserve">he phoned you, gave you Mrs </w:t>
      </w:r>
      <w:r w:rsidR="00F720D4">
        <w:rPr>
          <w:rFonts w:ascii="Arial Narrow" w:hAnsi="Arial Narrow"/>
        </w:rPr>
        <w:t>Hanabe</w:t>
      </w:r>
      <w:r>
        <w:rPr>
          <w:rFonts w:ascii="Arial Narrow" w:hAnsi="Arial Narrow"/>
        </w:rPr>
        <w:t xml:space="preserve">’s </w:t>
      </w:r>
      <w:r w:rsidR="00881BBE">
        <w:rPr>
          <w:rFonts w:ascii="Arial Narrow" w:hAnsi="Arial Narrow"/>
        </w:rPr>
        <w:t xml:space="preserve">number and she also gave Ms </w:t>
      </w:r>
      <w:r w:rsidR="00F720D4">
        <w:rPr>
          <w:rFonts w:ascii="Arial Narrow" w:hAnsi="Arial Narrow"/>
        </w:rPr>
        <w:t>Hanabe</w:t>
      </w:r>
      <w:r w:rsidR="00881BBE">
        <w:rPr>
          <w:rFonts w:ascii="Arial Narrow" w:hAnsi="Arial Narrow"/>
        </w:rPr>
        <w:t xml:space="preserve"> your number because Ms </w:t>
      </w:r>
      <w:r w:rsidR="006A5F4A">
        <w:rPr>
          <w:rFonts w:ascii="Arial Narrow" w:hAnsi="Arial Narrow"/>
        </w:rPr>
        <w:t>Hanabe</w:t>
      </w:r>
      <w:r w:rsidR="00881BBE">
        <w:rPr>
          <w:rFonts w:ascii="Arial Narrow" w:hAnsi="Arial Narrow"/>
        </w:rPr>
        <w:t xml:space="preserve"> was looking</w:t>
      </w:r>
      <w:r>
        <w:rPr>
          <w:rFonts w:ascii="Arial Narrow" w:hAnsi="Arial Narrow"/>
        </w:rPr>
        <w:t xml:space="preserve"> for somebody to complete the B</w:t>
      </w:r>
      <w:r w:rsidR="00881BBE">
        <w:rPr>
          <w:rFonts w:ascii="Arial Narrow" w:hAnsi="Arial Narrow"/>
        </w:rPr>
        <w:t>I 16634. And she says that is what she did.</w:t>
      </w:r>
    </w:p>
    <w:p w:rsidR="002F065F" w:rsidRDefault="002F065F" w:rsidP="002F065F">
      <w:pPr>
        <w:pStyle w:val="ListParagraph"/>
        <w:spacing w:after="0" w:line="240" w:lineRule="auto"/>
        <w:jc w:val="both"/>
        <w:rPr>
          <w:rFonts w:ascii="Arial Narrow" w:hAnsi="Arial Narrow"/>
        </w:rPr>
      </w:pPr>
    </w:p>
    <w:p w:rsidR="00376102" w:rsidRDefault="00376102" w:rsidP="00376102">
      <w:pPr>
        <w:pStyle w:val="ListParagraph"/>
        <w:spacing w:after="0" w:line="360" w:lineRule="auto"/>
        <w:jc w:val="both"/>
        <w:rPr>
          <w:rFonts w:ascii="Arial Narrow" w:hAnsi="Arial Narrow"/>
          <w:sz w:val="28"/>
          <w:szCs w:val="28"/>
        </w:rPr>
      </w:pPr>
    </w:p>
    <w:p w:rsidR="00881BBE" w:rsidRPr="00376102" w:rsidRDefault="00376102" w:rsidP="00376102">
      <w:pPr>
        <w:pStyle w:val="ListParagraph"/>
        <w:numPr>
          <w:ilvl w:val="0"/>
          <w:numId w:val="2"/>
        </w:numPr>
        <w:spacing w:after="0" w:line="360" w:lineRule="auto"/>
        <w:ind w:left="720" w:hanging="720"/>
        <w:jc w:val="both"/>
        <w:rPr>
          <w:rFonts w:ascii="Arial Narrow" w:hAnsi="Arial Narrow"/>
          <w:sz w:val="28"/>
          <w:szCs w:val="28"/>
        </w:rPr>
      </w:pPr>
      <w:r>
        <w:rPr>
          <w:rFonts w:ascii="Arial Narrow" w:hAnsi="Arial Narrow"/>
          <w:sz w:val="28"/>
          <w:szCs w:val="28"/>
        </w:rPr>
        <w:t>In her evidence-in-</w:t>
      </w:r>
      <w:r w:rsidR="002F065F" w:rsidRPr="00376102">
        <w:rPr>
          <w:rFonts w:ascii="Arial Narrow" w:hAnsi="Arial Narrow"/>
          <w:sz w:val="28"/>
          <w:szCs w:val="28"/>
        </w:rPr>
        <w:t>chief t</w:t>
      </w:r>
      <w:r w:rsidR="00881BBE" w:rsidRPr="00376102">
        <w:rPr>
          <w:rFonts w:ascii="Arial Narrow" w:hAnsi="Arial Narrow"/>
          <w:sz w:val="28"/>
          <w:szCs w:val="28"/>
        </w:rPr>
        <w:t>he appellant presented a wholly different version. The record reads as follows:</w:t>
      </w:r>
    </w:p>
    <w:p w:rsidR="00376102" w:rsidRPr="00376102" w:rsidRDefault="00376102" w:rsidP="00376102">
      <w:pPr>
        <w:pStyle w:val="ListParagraph"/>
        <w:spacing w:after="0" w:line="240" w:lineRule="auto"/>
        <w:jc w:val="both"/>
        <w:rPr>
          <w:rFonts w:ascii="Arial Narrow" w:hAnsi="Arial Narrow"/>
          <w:sz w:val="28"/>
          <w:szCs w:val="28"/>
        </w:rPr>
      </w:pPr>
    </w:p>
    <w:p w:rsidR="00881BBE" w:rsidRDefault="002F065F" w:rsidP="002F065F">
      <w:pPr>
        <w:pStyle w:val="ListParagraph"/>
        <w:spacing w:after="0" w:line="240" w:lineRule="auto"/>
        <w:ind w:left="1440"/>
        <w:jc w:val="both"/>
        <w:rPr>
          <w:rFonts w:ascii="Arial Narrow" w:hAnsi="Arial Narrow"/>
        </w:rPr>
      </w:pPr>
      <w:r>
        <w:rPr>
          <w:rFonts w:ascii="Arial Narrow" w:hAnsi="Arial Narrow"/>
        </w:rPr>
        <w:t>T</w:t>
      </w:r>
      <w:r w:rsidR="00881BBE">
        <w:rPr>
          <w:rFonts w:ascii="Arial Narrow" w:hAnsi="Arial Narrow"/>
        </w:rPr>
        <w:t>hank you Your Worship, I have no further questions to the witness. Sorry Your Worship, just the last aspect which I have</w:t>
      </w:r>
      <w:r>
        <w:rPr>
          <w:rFonts w:ascii="Arial Narrow" w:hAnsi="Arial Narrow"/>
        </w:rPr>
        <w:t xml:space="preserve"> overlooked. You know, Mr Kobus</w:t>
      </w:r>
      <w:r w:rsidR="00881BBE">
        <w:rPr>
          <w:rFonts w:ascii="Arial Narrow" w:hAnsi="Arial Narrow"/>
        </w:rPr>
        <w:t>? – Yes, I know him.</w:t>
      </w:r>
    </w:p>
    <w:p w:rsidR="00881BBE" w:rsidRDefault="002F065F" w:rsidP="002F065F">
      <w:pPr>
        <w:pStyle w:val="ListParagraph"/>
        <w:spacing w:after="0" w:line="240" w:lineRule="auto"/>
        <w:ind w:left="1440"/>
        <w:jc w:val="both"/>
        <w:rPr>
          <w:rFonts w:ascii="Arial Narrow" w:hAnsi="Arial Narrow"/>
        </w:rPr>
      </w:pPr>
      <w:r>
        <w:rPr>
          <w:rFonts w:ascii="Arial Narrow" w:hAnsi="Arial Narrow"/>
        </w:rPr>
        <w:t>Now he testified here in C</w:t>
      </w:r>
      <w:r w:rsidR="00881BBE">
        <w:rPr>
          <w:rFonts w:ascii="Arial Narrow" w:hAnsi="Arial Narrow"/>
        </w:rPr>
        <w:t xml:space="preserve">ourt and under cross-examination, </w:t>
      </w:r>
      <w:r>
        <w:rPr>
          <w:rFonts w:ascii="Arial Narrow" w:hAnsi="Arial Narrow"/>
        </w:rPr>
        <w:t>he told the Court that you phoned</w:t>
      </w:r>
      <w:r w:rsidR="00881BBE">
        <w:rPr>
          <w:rFonts w:ascii="Arial Narrow" w:hAnsi="Arial Narrow"/>
        </w:rPr>
        <w:t xml:space="preserve"> him. Is that correct? S</w:t>
      </w:r>
      <w:r>
        <w:rPr>
          <w:rFonts w:ascii="Arial Narrow" w:hAnsi="Arial Narrow"/>
        </w:rPr>
        <w:t>ome</w:t>
      </w:r>
      <w:r w:rsidR="00881BBE">
        <w:rPr>
          <w:rFonts w:ascii="Arial Narrow" w:hAnsi="Arial Narrow"/>
        </w:rPr>
        <w:t>time during… Well, he says September, it is not clear whether</w:t>
      </w:r>
      <w:r>
        <w:rPr>
          <w:rFonts w:ascii="Arial Narrow" w:hAnsi="Arial Narrow"/>
        </w:rPr>
        <w:t xml:space="preserve"> it is September or December – No, I never phoned</w:t>
      </w:r>
      <w:r w:rsidR="00881BBE">
        <w:rPr>
          <w:rFonts w:ascii="Arial Narrow" w:hAnsi="Arial Narrow"/>
        </w:rPr>
        <w:t xml:space="preserve"> him.</w:t>
      </w:r>
    </w:p>
    <w:p w:rsidR="00881BBE" w:rsidRDefault="00881BBE" w:rsidP="002F065F">
      <w:pPr>
        <w:pStyle w:val="ListParagraph"/>
        <w:spacing w:after="0" w:line="240" w:lineRule="auto"/>
        <w:ind w:left="1440"/>
        <w:jc w:val="both"/>
        <w:rPr>
          <w:rFonts w:ascii="Arial Narrow" w:hAnsi="Arial Narrow"/>
        </w:rPr>
      </w:pPr>
      <w:r>
        <w:rPr>
          <w:rFonts w:ascii="Arial Narrow" w:hAnsi="Arial Narrow"/>
        </w:rPr>
        <w:t xml:space="preserve">Sorry Your Worship, if I can just get to the evidence. Did you never phone him to tell him that Ms </w:t>
      </w:r>
      <w:r w:rsidR="006A5F4A">
        <w:rPr>
          <w:rFonts w:ascii="Arial Narrow" w:hAnsi="Arial Narrow"/>
        </w:rPr>
        <w:t>Hanabe</w:t>
      </w:r>
      <w:r>
        <w:rPr>
          <w:rFonts w:ascii="Arial Narrow" w:hAnsi="Arial Narrow"/>
        </w:rPr>
        <w:t xml:space="preserve"> wants to meet with him and wants to see him, because she needs help with a registration of death? – No, the undertakers I dealt with I didn’t have the number.</w:t>
      </w:r>
    </w:p>
    <w:p w:rsidR="002F065F" w:rsidRDefault="002F065F" w:rsidP="002F065F">
      <w:pPr>
        <w:pStyle w:val="ListParagraph"/>
        <w:spacing w:after="0" w:line="240" w:lineRule="auto"/>
        <w:jc w:val="both"/>
        <w:rPr>
          <w:rFonts w:ascii="Arial Narrow" w:hAnsi="Arial Narrow"/>
        </w:rPr>
      </w:pPr>
    </w:p>
    <w:p w:rsidR="00376102" w:rsidRDefault="00376102" w:rsidP="00376102">
      <w:pPr>
        <w:pStyle w:val="ListParagraph"/>
        <w:spacing w:after="0" w:line="360" w:lineRule="auto"/>
        <w:jc w:val="both"/>
        <w:rPr>
          <w:rFonts w:ascii="Arial Narrow" w:hAnsi="Arial Narrow"/>
          <w:sz w:val="28"/>
          <w:szCs w:val="28"/>
        </w:rPr>
      </w:pPr>
    </w:p>
    <w:p w:rsidR="00881BBE" w:rsidRPr="00376102" w:rsidRDefault="00881BBE" w:rsidP="00BD4E27">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 xml:space="preserve">It is clear from this passage that her testimony </w:t>
      </w:r>
      <w:r w:rsidR="002F065F" w:rsidRPr="00376102">
        <w:rPr>
          <w:rFonts w:ascii="Arial Narrow" w:hAnsi="Arial Narrow"/>
          <w:sz w:val="28"/>
          <w:szCs w:val="28"/>
        </w:rPr>
        <w:t>in chief was at odds with her p</w:t>
      </w:r>
      <w:r w:rsidRPr="00376102">
        <w:rPr>
          <w:rFonts w:ascii="Arial Narrow" w:hAnsi="Arial Narrow"/>
          <w:sz w:val="28"/>
          <w:szCs w:val="28"/>
        </w:rPr>
        <w:t>rior instructions to the attorney. In cross-examination the version shifted again. When</w:t>
      </w:r>
      <w:r w:rsidR="002F065F" w:rsidRPr="00376102">
        <w:rPr>
          <w:rFonts w:ascii="Arial Narrow" w:hAnsi="Arial Narrow"/>
          <w:sz w:val="28"/>
          <w:szCs w:val="28"/>
        </w:rPr>
        <w:t xml:space="preserve"> asked whether she called him, s</w:t>
      </w:r>
      <w:r w:rsidRPr="00376102">
        <w:rPr>
          <w:rFonts w:ascii="Arial Narrow" w:hAnsi="Arial Narrow"/>
          <w:sz w:val="28"/>
          <w:szCs w:val="28"/>
        </w:rPr>
        <w:t>he claimed not to remember. She then stated that she would have spoken to him as she did with any other undertaker who came to the office. When a</w:t>
      </w:r>
      <w:r w:rsidR="002F065F" w:rsidRPr="00376102">
        <w:rPr>
          <w:rFonts w:ascii="Arial Narrow" w:hAnsi="Arial Narrow"/>
          <w:sz w:val="28"/>
          <w:szCs w:val="28"/>
        </w:rPr>
        <w:t>sked if she ever spoke to Kobus</w:t>
      </w:r>
      <w:r w:rsidRPr="00376102">
        <w:rPr>
          <w:rFonts w:ascii="Arial Narrow" w:hAnsi="Arial Narrow"/>
          <w:sz w:val="28"/>
          <w:szCs w:val="28"/>
        </w:rPr>
        <w:t xml:space="preserve"> (</w:t>
      </w:r>
      <w:r w:rsidR="002D4AB9" w:rsidRPr="00376102">
        <w:rPr>
          <w:rFonts w:ascii="Arial Narrow" w:hAnsi="Arial Narrow"/>
          <w:sz w:val="28"/>
          <w:szCs w:val="28"/>
        </w:rPr>
        <w:t>Jasie</w:t>
      </w:r>
      <w:r w:rsidRPr="00376102">
        <w:rPr>
          <w:rFonts w:ascii="Arial Narrow" w:hAnsi="Arial Narrow"/>
          <w:sz w:val="28"/>
          <w:szCs w:val="28"/>
        </w:rPr>
        <w:t xml:space="preserve">) about anything relating to </w:t>
      </w:r>
      <w:r w:rsidR="006A5F4A" w:rsidRPr="00376102">
        <w:rPr>
          <w:rFonts w:ascii="Arial Narrow" w:hAnsi="Arial Narrow"/>
          <w:sz w:val="28"/>
          <w:szCs w:val="28"/>
        </w:rPr>
        <w:t>Hanabe</w:t>
      </w:r>
      <w:r w:rsidRPr="00376102">
        <w:rPr>
          <w:rFonts w:ascii="Arial Narrow" w:hAnsi="Arial Narrow"/>
          <w:sz w:val="28"/>
          <w:szCs w:val="28"/>
        </w:rPr>
        <w:t xml:space="preserve"> she claimed not to remember.</w:t>
      </w:r>
    </w:p>
    <w:p w:rsidR="002F065F" w:rsidRPr="00376102" w:rsidRDefault="002F065F" w:rsidP="00BD4E27">
      <w:pPr>
        <w:pStyle w:val="ListParagraph"/>
        <w:spacing w:after="0" w:line="360" w:lineRule="auto"/>
        <w:jc w:val="both"/>
        <w:rPr>
          <w:rFonts w:ascii="Arial Narrow" w:hAnsi="Arial Narrow"/>
          <w:sz w:val="28"/>
          <w:szCs w:val="28"/>
        </w:rPr>
      </w:pPr>
    </w:p>
    <w:p w:rsidR="00881BBE" w:rsidRPr="00376102" w:rsidRDefault="00881BBE" w:rsidP="00BD4E27">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The significance of the change in version is st</w:t>
      </w:r>
      <w:r w:rsidR="002F065F" w:rsidRPr="00376102">
        <w:rPr>
          <w:rFonts w:ascii="Arial Narrow" w:hAnsi="Arial Narrow"/>
          <w:sz w:val="28"/>
          <w:szCs w:val="28"/>
        </w:rPr>
        <w:t xml:space="preserve">riking. It was submitted by Ms de Jager, </w:t>
      </w:r>
      <w:r w:rsidRPr="00376102">
        <w:rPr>
          <w:rFonts w:ascii="Arial Narrow" w:hAnsi="Arial Narrow"/>
          <w:sz w:val="28"/>
          <w:szCs w:val="28"/>
        </w:rPr>
        <w:t xml:space="preserve">for the state, that the magistrate was correct to find that the change in version was an attempt by the appellant to distance herself from </w:t>
      </w:r>
      <w:r w:rsidR="002D4AB9" w:rsidRPr="00376102">
        <w:rPr>
          <w:rFonts w:ascii="Arial Narrow" w:hAnsi="Arial Narrow"/>
          <w:sz w:val="28"/>
          <w:szCs w:val="28"/>
        </w:rPr>
        <w:t>Jasie</w:t>
      </w:r>
      <w:r w:rsidRPr="00376102">
        <w:rPr>
          <w:rFonts w:ascii="Arial Narrow" w:hAnsi="Arial Narrow"/>
          <w:sz w:val="28"/>
          <w:szCs w:val="28"/>
        </w:rPr>
        <w:t xml:space="preserve">. On the version which was put to </w:t>
      </w:r>
      <w:r w:rsidR="002D4AB9" w:rsidRPr="00376102">
        <w:rPr>
          <w:rFonts w:ascii="Arial Narrow" w:hAnsi="Arial Narrow"/>
          <w:sz w:val="28"/>
          <w:szCs w:val="28"/>
        </w:rPr>
        <w:t>Jasie</w:t>
      </w:r>
      <w:r w:rsidRPr="00376102">
        <w:rPr>
          <w:rFonts w:ascii="Arial Narrow" w:hAnsi="Arial Narrow"/>
          <w:sz w:val="28"/>
          <w:szCs w:val="28"/>
        </w:rPr>
        <w:t xml:space="preserve"> the appellant would have had to explain why it was necessary to put </w:t>
      </w:r>
      <w:r w:rsidR="00F720D4" w:rsidRPr="00376102">
        <w:rPr>
          <w:rFonts w:ascii="Arial Narrow" w:hAnsi="Arial Narrow"/>
          <w:sz w:val="28"/>
          <w:szCs w:val="28"/>
        </w:rPr>
        <w:t>Hanabe</w:t>
      </w:r>
      <w:r w:rsidRPr="00376102">
        <w:rPr>
          <w:rFonts w:ascii="Arial Narrow" w:hAnsi="Arial Narrow"/>
          <w:sz w:val="28"/>
          <w:szCs w:val="28"/>
        </w:rPr>
        <w:t xml:space="preserve"> in contact with </w:t>
      </w:r>
      <w:r w:rsidR="002D4AB9" w:rsidRPr="00376102">
        <w:rPr>
          <w:rFonts w:ascii="Arial Narrow" w:hAnsi="Arial Narrow"/>
          <w:sz w:val="28"/>
          <w:szCs w:val="28"/>
        </w:rPr>
        <w:t>Jasie</w:t>
      </w:r>
      <w:r w:rsidRPr="00376102">
        <w:rPr>
          <w:rFonts w:ascii="Arial Narrow" w:hAnsi="Arial Narrow"/>
          <w:sz w:val="28"/>
          <w:szCs w:val="28"/>
        </w:rPr>
        <w:t xml:space="preserve"> for the purpose of completing a </w:t>
      </w:r>
      <w:r w:rsidR="002F065F" w:rsidRPr="00376102">
        <w:rPr>
          <w:rFonts w:ascii="Arial Narrow" w:hAnsi="Arial Narrow"/>
          <w:sz w:val="28"/>
          <w:szCs w:val="28"/>
        </w:rPr>
        <w:t>BI</w:t>
      </w:r>
      <w:r w:rsidRPr="00376102">
        <w:rPr>
          <w:rFonts w:ascii="Arial Narrow" w:hAnsi="Arial Narrow"/>
          <w:sz w:val="28"/>
          <w:szCs w:val="28"/>
        </w:rPr>
        <w:t xml:space="preserve"> 16634. Such forms</w:t>
      </w:r>
      <w:r w:rsidR="002F065F" w:rsidRPr="00376102">
        <w:rPr>
          <w:rFonts w:ascii="Arial Narrow" w:hAnsi="Arial Narrow"/>
          <w:sz w:val="28"/>
          <w:szCs w:val="28"/>
        </w:rPr>
        <w:t xml:space="preserve"> </w:t>
      </w:r>
      <w:r w:rsidR="00E8099F" w:rsidRPr="00376102">
        <w:rPr>
          <w:rFonts w:ascii="Arial Narrow" w:hAnsi="Arial Narrow"/>
          <w:sz w:val="28"/>
          <w:szCs w:val="28"/>
        </w:rPr>
        <w:t>are completed</w:t>
      </w:r>
      <w:r w:rsidRPr="00376102">
        <w:rPr>
          <w:rFonts w:ascii="Arial Narrow" w:hAnsi="Arial Narrow"/>
          <w:sz w:val="28"/>
          <w:szCs w:val="28"/>
        </w:rPr>
        <w:t xml:space="preserve"> at the office in the death registry section. </w:t>
      </w:r>
      <w:r w:rsidR="006A5F4A" w:rsidRPr="00376102">
        <w:rPr>
          <w:rFonts w:ascii="Arial Narrow" w:hAnsi="Arial Narrow"/>
          <w:sz w:val="28"/>
          <w:szCs w:val="28"/>
        </w:rPr>
        <w:t>Hanabe</w:t>
      </w:r>
      <w:r w:rsidR="002F065F" w:rsidRPr="00376102">
        <w:rPr>
          <w:rFonts w:ascii="Arial Narrow" w:hAnsi="Arial Narrow"/>
          <w:sz w:val="28"/>
          <w:szCs w:val="28"/>
        </w:rPr>
        <w:t xml:space="preserve"> was not employed in</w:t>
      </w:r>
      <w:r w:rsidRPr="00376102">
        <w:rPr>
          <w:rFonts w:ascii="Arial Narrow" w:hAnsi="Arial Narrow"/>
          <w:sz w:val="28"/>
          <w:szCs w:val="28"/>
        </w:rPr>
        <w:t xml:space="preserve"> that section.</w:t>
      </w:r>
    </w:p>
    <w:p w:rsidR="002F065F" w:rsidRPr="00376102" w:rsidRDefault="002F065F" w:rsidP="00BD4E27">
      <w:pPr>
        <w:pStyle w:val="ListParagraph"/>
        <w:spacing w:after="0" w:line="360" w:lineRule="auto"/>
        <w:jc w:val="both"/>
        <w:rPr>
          <w:rFonts w:ascii="Arial Narrow" w:hAnsi="Arial Narrow"/>
          <w:sz w:val="28"/>
          <w:szCs w:val="28"/>
        </w:rPr>
      </w:pPr>
    </w:p>
    <w:p w:rsidR="00881BBE" w:rsidRPr="00376102" w:rsidRDefault="00881BBE" w:rsidP="00BD4E27">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I agree with the submission. A reading of the appellant’</w:t>
      </w:r>
      <w:r w:rsidR="002F065F" w:rsidRPr="00376102">
        <w:rPr>
          <w:rFonts w:ascii="Arial Narrow" w:hAnsi="Arial Narrow"/>
          <w:sz w:val="28"/>
          <w:szCs w:val="28"/>
        </w:rPr>
        <w:t xml:space="preserve">s evidence in this regard </w:t>
      </w:r>
      <w:r w:rsidRPr="00376102">
        <w:rPr>
          <w:rFonts w:ascii="Arial Narrow" w:hAnsi="Arial Narrow"/>
          <w:sz w:val="28"/>
          <w:szCs w:val="28"/>
        </w:rPr>
        <w:t xml:space="preserve">clearly reflects a change in version and an attempt to escape the inevitable consequence of an admission that she had facilitated contact between </w:t>
      </w:r>
      <w:r w:rsidR="006A5F4A" w:rsidRPr="00376102">
        <w:rPr>
          <w:rFonts w:ascii="Arial Narrow" w:hAnsi="Arial Narrow"/>
          <w:sz w:val="28"/>
          <w:szCs w:val="28"/>
        </w:rPr>
        <w:t>Hanabe</w:t>
      </w:r>
      <w:r w:rsidRPr="00376102">
        <w:rPr>
          <w:rFonts w:ascii="Arial Narrow" w:hAnsi="Arial Narrow"/>
          <w:sz w:val="28"/>
          <w:szCs w:val="28"/>
        </w:rPr>
        <w:t xml:space="preserve"> and </w:t>
      </w:r>
      <w:r w:rsidR="002D4AB9" w:rsidRPr="00376102">
        <w:rPr>
          <w:rFonts w:ascii="Arial Narrow" w:hAnsi="Arial Narrow"/>
          <w:sz w:val="28"/>
          <w:szCs w:val="28"/>
        </w:rPr>
        <w:t>Jasie</w:t>
      </w:r>
      <w:r w:rsidRPr="00376102">
        <w:rPr>
          <w:rFonts w:ascii="Arial Narrow" w:hAnsi="Arial Narrow"/>
          <w:sz w:val="28"/>
          <w:szCs w:val="28"/>
        </w:rPr>
        <w:t>. That consequence is knowledge of and association with unlawful conduct.</w:t>
      </w:r>
    </w:p>
    <w:p w:rsidR="002F065F" w:rsidRPr="00376102" w:rsidRDefault="002F065F" w:rsidP="00BD4E27">
      <w:pPr>
        <w:pStyle w:val="ListParagraph"/>
        <w:spacing w:after="0" w:line="360" w:lineRule="auto"/>
        <w:jc w:val="both"/>
        <w:rPr>
          <w:rFonts w:ascii="Arial Narrow" w:hAnsi="Arial Narrow"/>
          <w:sz w:val="28"/>
          <w:szCs w:val="28"/>
        </w:rPr>
      </w:pPr>
    </w:p>
    <w:p w:rsidR="00881BBE" w:rsidRPr="00376102" w:rsidRDefault="00881BBE" w:rsidP="00BD4E27">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 xml:space="preserve">A crucial element of the state’s case was that relating to the use of the appellant’s cell phone number, which appeared in all </w:t>
      </w:r>
      <w:r w:rsidR="002F065F" w:rsidRPr="00376102">
        <w:rPr>
          <w:rFonts w:ascii="Arial Narrow" w:hAnsi="Arial Narrow"/>
          <w:sz w:val="28"/>
          <w:szCs w:val="28"/>
        </w:rPr>
        <w:t>of the police reports which were</w:t>
      </w:r>
      <w:r w:rsidRPr="00376102">
        <w:rPr>
          <w:rFonts w:ascii="Arial Narrow" w:hAnsi="Arial Narrow"/>
          <w:sz w:val="28"/>
          <w:szCs w:val="28"/>
        </w:rPr>
        <w:t xml:space="preserve"> submitted with the insurance claims. Those documents were admitted. </w:t>
      </w:r>
      <w:r w:rsidR="00F720D4" w:rsidRPr="00376102">
        <w:rPr>
          <w:rFonts w:ascii="Arial Narrow" w:hAnsi="Arial Narrow"/>
          <w:sz w:val="28"/>
          <w:szCs w:val="28"/>
        </w:rPr>
        <w:t>Hanabe</w:t>
      </w:r>
      <w:r w:rsidRPr="00376102">
        <w:rPr>
          <w:rFonts w:ascii="Arial Narrow" w:hAnsi="Arial Narrow"/>
          <w:sz w:val="28"/>
          <w:szCs w:val="28"/>
        </w:rPr>
        <w:t xml:space="preserve"> testified that they (i.e. the appellant and her) had implemented the </w:t>
      </w:r>
      <w:r w:rsidRPr="00376102">
        <w:rPr>
          <w:rFonts w:ascii="Arial Narrow" w:hAnsi="Arial Narrow"/>
          <w:i/>
          <w:sz w:val="28"/>
          <w:szCs w:val="28"/>
        </w:rPr>
        <w:t>modus operandi</w:t>
      </w:r>
      <w:r w:rsidRPr="00376102">
        <w:rPr>
          <w:rFonts w:ascii="Arial Narrow" w:hAnsi="Arial Narrow"/>
          <w:sz w:val="28"/>
          <w:szCs w:val="28"/>
        </w:rPr>
        <w:t xml:space="preserve"> in each instance. The nece</w:t>
      </w:r>
      <w:r w:rsidR="002F065F" w:rsidRPr="00376102">
        <w:rPr>
          <w:rFonts w:ascii="Arial Narrow" w:hAnsi="Arial Narrow"/>
          <w:sz w:val="28"/>
          <w:szCs w:val="28"/>
        </w:rPr>
        <w:t>ssary documents, such as the B</w:t>
      </w:r>
      <w:r w:rsidRPr="00376102">
        <w:rPr>
          <w:rFonts w:ascii="Arial Narrow" w:hAnsi="Arial Narrow"/>
          <w:sz w:val="28"/>
          <w:szCs w:val="28"/>
        </w:rPr>
        <w:t>I 1663 and the police reports were supplied by the appellant. Her telephone number was used in each instance as that of the police investigating officer. This was to ensure that if any queries arose upon subm</w:t>
      </w:r>
      <w:r w:rsidR="002F065F" w:rsidRPr="00376102">
        <w:rPr>
          <w:rFonts w:ascii="Arial Narrow" w:hAnsi="Arial Narrow"/>
          <w:sz w:val="28"/>
          <w:szCs w:val="28"/>
        </w:rPr>
        <w:t>ission of the insurance claim t</w:t>
      </w:r>
      <w:r w:rsidRPr="00376102">
        <w:rPr>
          <w:rFonts w:ascii="Arial Narrow" w:hAnsi="Arial Narrow"/>
          <w:sz w:val="28"/>
          <w:szCs w:val="28"/>
        </w:rPr>
        <w:t>he appellant could deal with</w:t>
      </w:r>
      <w:r w:rsidR="002F065F" w:rsidRPr="00376102">
        <w:rPr>
          <w:rFonts w:ascii="Arial Narrow" w:hAnsi="Arial Narrow"/>
          <w:sz w:val="28"/>
          <w:szCs w:val="28"/>
        </w:rPr>
        <w:t xml:space="preserve"> it</w:t>
      </w:r>
      <w:r w:rsidRPr="00376102">
        <w:rPr>
          <w:rFonts w:ascii="Arial Narrow" w:hAnsi="Arial Narrow"/>
          <w:sz w:val="28"/>
          <w:szCs w:val="28"/>
        </w:rPr>
        <w:t>.</w:t>
      </w:r>
      <w:r w:rsidR="002F065F" w:rsidRPr="00376102">
        <w:rPr>
          <w:rFonts w:ascii="Arial Narrow" w:hAnsi="Arial Narrow"/>
          <w:sz w:val="28"/>
          <w:szCs w:val="28"/>
        </w:rPr>
        <w:t xml:space="preserve"> Hanabe testified that this happened in one of the instances.</w:t>
      </w:r>
    </w:p>
    <w:p w:rsidR="00661134" w:rsidRPr="00376102" w:rsidRDefault="00661134" w:rsidP="00BD4E27">
      <w:pPr>
        <w:pStyle w:val="ListParagraph"/>
        <w:spacing w:after="0" w:line="360" w:lineRule="auto"/>
        <w:jc w:val="both"/>
        <w:rPr>
          <w:rFonts w:ascii="Arial Narrow" w:hAnsi="Arial Narrow"/>
          <w:sz w:val="28"/>
          <w:szCs w:val="28"/>
        </w:rPr>
      </w:pPr>
    </w:p>
    <w:p w:rsidR="00661134" w:rsidRPr="00376102" w:rsidRDefault="00881BBE" w:rsidP="00BD4E27">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 xml:space="preserve">The admitted evidence establishes that the appellant’s cell phone number appears on the documents which are utilised in relation to the first set of offences, i.e. in May 2008. This was some months before the incident in respect of which the appellant pleaded guilty, and in respect of which she claimed that the initiative had come from </w:t>
      </w:r>
      <w:r w:rsidR="00F720D4" w:rsidRPr="00376102">
        <w:rPr>
          <w:rFonts w:ascii="Arial Narrow" w:hAnsi="Arial Narrow"/>
          <w:sz w:val="28"/>
          <w:szCs w:val="28"/>
        </w:rPr>
        <w:t>Hanabe</w:t>
      </w:r>
      <w:r w:rsidRPr="00376102">
        <w:rPr>
          <w:rFonts w:ascii="Arial Narrow" w:hAnsi="Arial Narrow"/>
          <w:sz w:val="28"/>
          <w:szCs w:val="28"/>
        </w:rPr>
        <w:t>. These latter offences for whi</w:t>
      </w:r>
      <w:r w:rsidR="00661134" w:rsidRPr="00376102">
        <w:rPr>
          <w:rFonts w:ascii="Arial Narrow" w:hAnsi="Arial Narrow"/>
          <w:sz w:val="28"/>
          <w:szCs w:val="28"/>
        </w:rPr>
        <w:t>ch the appellant pleaded guilty</w:t>
      </w:r>
      <w:r w:rsidRPr="00376102">
        <w:rPr>
          <w:rFonts w:ascii="Arial Narrow" w:hAnsi="Arial Narrow"/>
          <w:sz w:val="28"/>
          <w:szCs w:val="28"/>
        </w:rPr>
        <w:t xml:space="preserve"> occurred in July and August 2008. It was the appellant’s version that she </w:t>
      </w:r>
      <w:r w:rsidR="00661134" w:rsidRPr="00376102">
        <w:rPr>
          <w:rFonts w:ascii="Arial Narrow" w:hAnsi="Arial Narrow"/>
          <w:sz w:val="28"/>
          <w:szCs w:val="28"/>
        </w:rPr>
        <w:t>had supplied her cell number to</w:t>
      </w:r>
      <w:r w:rsidRPr="00376102">
        <w:rPr>
          <w:rFonts w:ascii="Arial Narrow" w:hAnsi="Arial Narrow"/>
          <w:sz w:val="28"/>
          <w:szCs w:val="28"/>
        </w:rPr>
        <w:t xml:space="preserve"> </w:t>
      </w:r>
      <w:r w:rsidR="006A5F4A" w:rsidRPr="00376102">
        <w:rPr>
          <w:rFonts w:ascii="Arial Narrow" w:hAnsi="Arial Narrow"/>
          <w:sz w:val="28"/>
          <w:szCs w:val="28"/>
        </w:rPr>
        <w:t>Hanabe</w:t>
      </w:r>
      <w:r w:rsidR="00661134" w:rsidRPr="00376102">
        <w:rPr>
          <w:rFonts w:ascii="Arial Narrow" w:hAnsi="Arial Narrow"/>
          <w:sz w:val="28"/>
          <w:szCs w:val="28"/>
        </w:rPr>
        <w:t xml:space="preserve"> for some other purpose, i.e.</w:t>
      </w:r>
      <w:r w:rsidRPr="00376102">
        <w:rPr>
          <w:rFonts w:ascii="Arial Narrow" w:hAnsi="Arial Narrow"/>
          <w:sz w:val="28"/>
          <w:szCs w:val="28"/>
        </w:rPr>
        <w:t xml:space="preserve"> to enable people to confirm that she was employed at Home Affairs. </w:t>
      </w:r>
    </w:p>
    <w:p w:rsidR="00661134" w:rsidRPr="00376102" w:rsidRDefault="00661134" w:rsidP="00BD4E27">
      <w:pPr>
        <w:pStyle w:val="ListParagraph"/>
        <w:spacing w:line="360" w:lineRule="auto"/>
        <w:rPr>
          <w:rFonts w:ascii="Arial Narrow" w:hAnsi="Arial Narrow"/>
          <w:sz w:val="28"/>
          <w:szCs w:val="28"/>
        </w:rPr>
      </w:pPr>
    </w:p>
    <w:p w:rsidR="00881BBE" w:rsidRPr="00376102" w:rsidRDefault="00881BBE" w:rsidP="00BD4E27">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The magistrate was very much alive to the inherent probabilities and improbabilities associated with the</w:t>
      </w:r>
      <w:r w:rsidR="00661134" w:rsidRPr="00376102">
        <w:rPr>
          <w:rFonts w:ascii="Arial Narrow" w:hAnsi="Arial Narrow"/>
          <w:sz w:val="28"/>
          <w:szCs w:val="28"/>
        </w:rPr>
        <w:t>se</w:t>
      </w:r>
      <w:r w:rsidRPr="00376102">
        <w:rPr>
          <w:rFonts w:ascii="Arial Narrow" w:hAnsi="Arial Narrow"/>
          <w:sz w:val="28"/>
          <w:szCs w:val="28"/>
        </w:rPr>
        <w:t xml:space="preserve"> versions. The magistrate found that it was highly improbable that </w:t>
      </w:r>
      <w:r w:rsidR="006A5F4A" w:rsidRPr="00376102">
        <w:rPr>
          <w:rFonts w:ascii="Arial Narrow" w:hAnsi="Arial Narrow"/>
          <w:sz w:val="28"/>
          <w:szCs w:val="28"/>
        </w:rPr>
        <w:t>Hanabe</w:t>
      </w:r>
      <w:r w:rsidRPr="00376102">
        <w:rPr>
          <w:rFonts w:ascii="Arial Narrow" w:hAnsi="Arial Narrow"/>
          <w:sz w:val="28"/>
          <w:szCs w:val="28"/>
        </w:rPr>
        <w:t xml:space="preserve"> would make use of the appellant’s phone number in </w:t>
      </w:r>
      <w:r w:rsidR="00661134" w:rsidRPr="00376102">
        <w:rPr>
          <w:rFonts w:ascii="Arial Narrow" w:hAnsi="Arial Narrow"/>
          <w:sz w:val="28"/>
          <w:szCs w:val="28"/>
        </w:rPr>
        <w:t>those matters which preceded the appellant’s</w:t>
      </w:r>
      <w:r w:rsidRPr="00376102">
        <w:rPr>
          <w:rFonts w:ascii="Arial Narrow" w:hAnsi="Arial Narrow"/>
          <w:sz w:val="28"/>
          <w:szCs w:val="28"/>
        </w:rPr>
        <w:t xml:space="preserve"> involvement since this could easily have led to discovery of her fraudulent conduct. In this f</w:t>
      </w:r>
      <w:r w:rsidR="00661134" w:rsidRPr="00376102">
        <w:rPr>
          <w:rFonts w:ascii="Arial Narrow" w:hAnsi="Arial Narrow"/>
          <w:sz w:val="28"/>
          <w:szCs w:val="28"/>
        </w:rPr>
        <w:t xml:space="preserve">inding, the magistrate cannot </w:t>
      </w:r>
      <w:r w:rsidRPr="00376102">
        <w:rPr>
          <w:rFonts w:ascii="Arial Narrow" w:hAnsi="Arial Narrow"/>
          <w:sz w:val="28"/>
          <w:szCs w:val="28"/>
        </w:rPr>
        <w:t>faulted.</w:t>
      </w:r>
    </w:p>
    <w:p w:rsidR="00661134" w:rsidRPr="00376102" w:rsidRDefault="00661134" w:rsidP="00BD4E27">
      <w:pPr>
        <w:pStyle w:val="ListParagraph"/>
        <w:spacing w:after="0" w:line="360" w:lineRule="auto"/>
        <w:jc w:val="both"/>
        <w:rPr>
          <w:rFonts w:ascii="Arial Narrow" w:hAnsi="Arial Narrow"/>
          <w:sz w:val="28"/>
          <w:szCs w:val="28"/>
        </w:rPr>
      </w:pPr>
    </w:p>
    <w:p w:rsidR="00881BBE" w:rsidRPr="00376102" w:rsidRDefault="00881BBE" w:rsidP="00BD4E27">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Appellant’s counsel argued that the magistrate was wrong to reject the evidence of the appellant as not being reasonably possibly true. I have already dealt with t</w:t>
      </w:r>
      <w:r w:rsidR="00DD49F9">
        <w:rPr>
          <w:rFonts w:ascii="Arial Narrow" w:hAnsi="Arial Narrow"/>
          <w:sz w:val="28"/>
          <w:szCs w:val="28"/>
        </w:rPr>
        <w:t>w</w:t>
      </w:r>
      <w:r w:rsidRPr="00376102">
        <w:rPr>
          <w:rFonts w:ascii="Arial Narrow" w:hAnsi="Arial Narrow"/>
          <w:sz w:val="28"/>
          <w:szCs w:val="28"/>
        </w:rPr>
        <w:t>o significant aspects upon which the magistrate based this finding. In regard to the first, namely the change in version, it manifestly undermined the appellant’s credibility. In regard to the second, namely the inherent improbabilities in the appellant’s version, it justifies the rejection of that version. Upon considerati</w:t>
      </w:r>
      <w:r w:rsidR="00661134" w:rsidRPr="00376102">
        <w:rPr>
          <w:rFonts w:ascii="Arial Narrow" w:hAnsi="Arial Narrow"/>
          <w:sz w:val="28"/>
          <w:szCs w:val="28"/>
        </w:rPr>
        <w:t>on of the evidence as a whole there</w:t>
      </w:r>
      <w:r w:rsidRPr="00376102">
        <w:rPr>
          <w:rFonts w:ascii="Arial Narrow" w:hAnsi="Arial Narrow"/>
          <w:sz w:val="28"/>
          <w:szCs w:val="28"/>
        </w:rPr>
        <w:t xml:space="preserve"> can, in my view, be no doubt as to which version is acceptable.</w:t>
      </w:r>
      <w:r w:rsidR="00661134" w:rsidRPr="00376102">
        <w:rPr>
          <w:rFonts w:ascii="Arial Narrow" w:hAnsi="Arial Narrow"/>
          <w:sz w:val="28"/>
          <w:szCs w:val="28"/>
        </w:rPr>
        <w:t xml:space="preserve"> The magistrate accordingly did not err in rejecting the appellant’s version as not being reasonably possibly true.</w:t>
      </w:r>
    </w:p>
    <w:p w:rsidR="00661134" w:rsidRPr="00376102" w:rsidRDefault="00661134" w:rsidP="00BD4E27">
      <w:pPr>
        <w:pStyle w:val="ListParagraph"/>
        <w:spacing w:line="360" w:lineRule="auto"/>
        <w:rPr>
          <w:rFonts w:ascii="Arial Narrow" w:hAnsi="Arial Narrow"/>
          <w:sz w:val="28"/>
          <w:szCs w:val="28"/>
        </w:rPr>
      </w:pPr>
    </w:p>
    <w:p w:rsidR="00881BBE" w:rsidRPr="00376102" w:rsidRDefault="00881BBE" w:rsidP="00BD4E27">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 xml:space="preserve">In the circumstances there is no basis </w:t>
      </w:r>
      <w:r w:rsidR="00661134" w:rsidRPr="00376102">
        <w:rPr>
          <w:rFonts w:ascii="Arial Narrow" w:hAnsi="Arial Narrow"/>
          <w:sz w:val="28"/>
          <w:szCs w:val="28"/>
        </w:rPr>
        <w:t xml:space="preserve">to find </w:t>
      </w:r>
      <w:r w:rsidRPr="00376102">
        <w:rPr>
          <w:rFonts w:ascii="Arial Narrow" w:hAnsi="Arial Narrow"/>
          <w:sz w:val="28"/>
          <w:szCs w:val="28"/>
        </w:rPr>
        <w:t>that the magistrate erred in finding that the appel</w:t>
      </w:r>
      <w:r w:rsidR="00661134" w:rsidRPr="00376102">
        <w:rPr>
          <w:rFonts w:ascii="Arial Narrow" w:hAnsi="Arial Narrow"/>
          <w:sz w:val="28"/>
          <w:szCs w:val="28"/>
        </w:rPr>
        <w:t>lant was guilty on counts 1 to</w:t>
      </w:r>
      <w:r w:rsidRPr="00376102">
        <w:rPr>
          <w:rFonts w:ascii="Arial Narrow" w:hAnsi="Arial Narrow"/>
          <w:sz w:val="28"/>
          <w:szCs w:val="28"/>
        </w:rPr>
        <w:t xml:space="preserve"> 22.</w:t>
      </w:r>
    </w:p>
    <w:p w:rsidR="00661134" w:rsidRPr="00376102" w:rsidRDefault="00661134" w:rsidP="00BD4E27">
      <w:pPr>
        <w:pStyle w:val="ListParagraph"/>
        <w:spacing w:after="0" w:line="360" w:lineRule="auto"/>
        <w:jc w:val="both"/>
        <w:rPr>
          <w:rFonts w:ascii="Arial Narrow" w:hAnsi="Arial Narrow"/>
          <w:sz w:val="28"/>
          <w:szCs w:val="28"/>
        </w:rPr>
      </w:pPr>
    </w:p>
    <w:p w:rsidR="00881BBE" w:rsidRPr="00376102" w:rsidRDefault="00881BBE" w:rsidP="00BD4E27">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In regard t</w:t>
      </w:r>
      <w:r w:rsidR="00661134" w:rsidRPr="00376102">
        <w:rPr>
          <w:rFonts w:ascii="Arial Narrow" w:hAnsi="Arial Narrow"/>
          <w:sz w:val="28"/>
          <w:szCs w:val="28"/>
        </w:rPr>
        <w:t>o the appeal against sentence t</w:t>
      </w:r>
      <w:r w:rsidRPr="00376102">
        <w:rPr>
          <w:rFonts w:ascii="Arial Narrow" w:hAnsi="Arial Narrow"/>
          <w:sz w:val="28"/>
          <w:szCs w:val="28"/>
        </w:rPr>
        <w:t>he appellant’s counsel conceded that very little can be said about the sentence imposed by the magistrate. The question of sentence was addressed solely on the</w:t>
      </w:r>
      <w:r w:rsidR="00661134" w:rsidRPr="00376102">
        <w:rPr>
          <w:rFonts w:ascii="Arial Narrow" w:hAnsi="Arial Narrow"/>
          <w:sz w:val="28"/>
          <w:szCs w:val="28"/>
        </w:rPr>
        <w:t xml:space="preserve"> basis of a successful appeal i</w:t>
      </w:r>
      <w:r w:rsidRPr="00376102">
        <w:rPr>
          <w:rFonts w:ascii="Arial Narrow" w:hAnsi="Arial Narrow"/>
          <w:sz w:val="28"/>
          <w:szCs w:val="28"/>
        </w:rPr>
        <w:t>n relation to the conviction on counts 1</w:t>
      </w:r>
      <w:r w:rsidR="00661134" w:rsidRPr="00376102">
        <w:rPr>
          <w:rFonts w:ascii="Arial Narrow" w:hAnsi="Arial Narrow"/>
          <w:sz w:val="28"/>
          <w:szCs w:val="28"/>
        </w:rPr>
        <w:t xml:space="preserve"> to </w:t>
      </w:r>
      <w:r w:rsidRPr="00376102">
        <w:rPr>
          <w:rFonts w:ascii="Arial Narrow" w:hAnsi="Arial Narrow"/>
          <w:sz w:val="28"/>
          <w:szCs w:val="28"/>
        </w:rPr>
        <w:t>18. It was submitted that in that event the sente</w:t>
      </w:r>
      <w:r w:rsidR="00661134" w:rsidRPr="00376102">
        <w:rPr>
          <w:rFonts w:ascii="Arial Narrow" w:hAnsi="Arial Narrow"/>
          <w:sz w:val="28"/>
          <w:szCs w:val="28"/>
        </w:rPr>
        <w:t xml:space="preserve">nce in respect of counts 19 to </w:t>
      </w:r>
      <w:r w:rsidRPr="00376102">
        <w:rPr>
          <w:rFonts w:ascii="Arial Narrow" w:hAnsi="Arial Narrow"/>
          <w:sz w:val="28"/>
          <w:szCs w:val="28"/>
        </w:rPr>
        <w:t>22 ought to be revisited. Since the convictions stand the issue does not arise. In any event, the appellant advanced no grounds upon which this court ought</w:t>
      </w:r>
      <w:r w:rsidR="00BD4E27" w:rsidRPr="00376102">
        <w:rPr>
          <w:rFonts w:ascii="Arial Narrow" w:hAnsi="Arial Narrow"/>
          <w:sz w:val="28"/>
          <w:szCs w:val="28"/>
        </w:rPr>
        <w:t xml:space="preserve"> to interfere with the sentence</w:t>
      </w:r>
      <w:r w:rsidRPr="00376102">
        <w:rPr>
          <w:rFonts w:ascii="Arial Narrow" w:hAnsi="Arial Narrow"/>
          <w:sz w:val="28"/>
          <w:szCs w:val="28"/>
        </w:rPr>
        <w:t xml:space="preserve"> imposed by the magistrate.</w:t>
      </w:r>
    </w:p>
    <w:p w:rsidR="00BD4E27" w:rsidRPr="00376102" w:rsidRDefault="00BD4E27" w:rsidP="00BD4E27">
      <w:pPr>
        <w:pStyle w:val="ListParagraph"/>
        <w:spacing w:after="0" w:line="360" w:lineRule="auto"/>
        <w:jc w:val="both"/>
        <w:rPr>
          <w:rFonts w:ascii="Arial Narrow" w:hAnsi="Arial Narrow"/>
          <w:sz w:val="28"/>
          <w:szCs w:val="28"/>
        </w:rPr>
      </w:pPr>
    </w:p>
    <w:p w:rsidR="00881BBE" w:rsidRPr="00376102" w:rsidRDefault="00881BBE" w:rsidP="00BD4E27">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 xml:space="preserve">The magistrate’s </w:t>
      </w:r>
      <w:r w:rsidR="002D4AB9" w:rsidRPr="00376102">
        <w:rPr>
          <w:rFonts w:ascii="Arial Narrow" w:hAnsi="Arial Narrow"/>
          <w:sz w:val="28"/>
          <w:szCs w:val="28"/>
        </w:rPr>
        <w:t>judgment</w:t>
      </w:r>
      <w:r w:rsidR="00BD4E27" w:rsidRPr="00376102">
        <w:rPr>
          <w:rFonts w:ascii="Arial Narrow" w:hAnsi="Arial Narrow"/>
          <w:sz w:val="28"/>
          <w:szCs w:val="28"/>
        </w:rPr>
        <w:t xml:space="preserve"> on sentence</w:t>
      </w:r>
      <w:r w:rsidRPr="00376102">
        <w:rPr>
          <w:rFonts w:ascii="Arial Narrow" w:hAnsi="Arial Narrow"/>
          <w:sz w:val="28"/>
          <w:szCs w:val="28"/>
        </w:rPr>
        <w:t xml:space="preserve"> is a carefully considered one, which took into account the circumstances of the appellant and the impact that imprisonment would have upon her minor children. The magistrate </w:t>
      </w:r>
      <w:r w:rsidR="00BD4E27" w:rsidRPr="00376102">
        <w:rPr>
          <w:rFonts w:ascii="Arial Narrow" w:hAnsi="Arial Narrow"/>
          <w:sz w:val="28"/>
          <w:szCs w:val="28"/>
        </w:rPr>
        <w:t>structured the sentences</w:t>
      </w:r>
      <w:r w:rsidRPr="00376102">
        <w:rPr>
          <w:rFonts w:ascii="Arial Narrow" w:hAnsi="Arial Narrow"/>
          <w:sz w:val="28"/>
          <w:szCs w:val="28"/>
        </w:rPr>
        <w:t xml:space="preserve"> in such a manner as would mitigate the cumulative effect and result in an effective period of imprisonment of eight years. The sentence is, given the very s</w:t>
      </w:r>
      <w:r w:rsidR="00BD4E27" w:rsidRPr="00376102">
        <w:rPr>
          <w:rFonts w:ascii="Arial Narrow" w:hAnsi="Arial Narrow"/>
          <w:sz w:val="28"/>
          <w:szCs w:val="28"/>
        </w:rPr>
        <w:t>erious nature of the crimes, an</w:t>
      </w:r>
      <w:r w:rsidRPr="00376102">
        <w:rPr>
          <w:rFonts w:ascii="Arial Narrow" w:hAnsi="Arial Narrow"/>
          <w:sz w:val="28"/>
          <w:szCs w:val="28"/>
        </w:rPr>
        <w:t xml:space="preserve"> eminently reasonable sentence. It follows that the appeal against sentence must also be dismissed.</w:t>
      </w:r>
    </w:p>
    <w:p w:rsidR="00BD4E27" w:rsidRPr="00376102" w:rsidRDefault="00BD4E27" w:rsidP="00BD4E27">
      <w:pPr>
        <w:pStyle w:val="ListParagraph"/>
        <w:spacing w:after="0" w:line="360" w:lineRule="auto"/>
        <w:jc w:val="both"/>
        <w:rPr>
          <w:rFonts w:ascii="Arial Narrow" w:hAnsi="Arial Narrow"/>
          <w:sz w:val="28"/>
          <w:szCs w:val="28"/>
        </w:rPr>
      </w:pPr>
    </w:p>
    <w:p w:rsidR="00881BBE" w:rsidRPr="00376102" w:rsidRDefault="00881BBE" w:rsidP="00BD4E27">
      <w:pPr>
        <w:pStyle w:val="ListParagraph"/>
        <w:numPr>
          <w:ilvl w:val="0"/>
          <w:numId w:val="2"/>
        </w:numPr>
        <w:spacing w:after="0" w:line="360" w:lineRule="auto"/>
        <w:ind w:left="720" w:hanging="720"/>
        <w:jc w:val="both"/>
        <w:rPr>
          <w:rFonts w:ascii="Arial Narrow" w:hAnsi="Arial Narrow"/>
          <w:sz w:val="28"/>
          <w:szCs w:val="28"/>
        </w:rPr>
      </w:pPr>
      <w:r w:rsidRPr="00376102">
        <w:rPr>
          <w:rFonts w:ascii="Arial Narrow" w:hAnsi="Arial Narrow"/>
          <w:sz w:val="28"/>
          <w:szCs w:val="28"/>
        </w:rPr>
        <w:t>When the trial court granted leave to appeal the appellant was granted bail pending the finalisation of the appe</w:t>
      </w:r>
      <w:r w:rsidR="00BD4E27" w:rsidRPr="00376102">
        <w:rPr>
          <w:rFonts w:ascii="Arial Narrow" w:hAnsi="Arial Narrow"/>
          <w:sz w:val="28"/>
          <w:szCs w:val="28"/>
        </w:rPr>
        <w:t xml:space="preserve">al. The </w:t>
      </w:r>
      <w:r w:rsidRPr="00376102">
        <w:rPr>
          <w:rFonts w:ascii="Arial Narrow" w:hAnsi="Arial Narrow"/>
          <w:sz w:val="28"/>
          <w:szCs w:val="28"/>
        </w:rPr>
        <w:t>order</w:t>
      </w:r>
      <w:r w:rsidR="00BD4E27" w:rsidRPr="00376102">
        <w:rPr>
          <w:rFonts w:ascii="Arial Narrow" w:hAnsi="Arial Narrow"/>
          <w:sz w:val="28"/>
          <w:szCs w:val="28"/>
        </w:rPr>
        <w:t xml:space="preserve"> issued</w:t>
      </w:r>
      <w:r w:rsidRPr="00376102">
        <w:rPr>
          <w:rFonts w:ascii="Arial Narrow" w:hAnsi="Arial Narrow"/>
          <w:sz w:val="28"/>
          <w:szCs w:val="28"/>
        </w:rPr>
        <w:t xml:space="preserve"> was that in the event that a sentence of incarceration is imposed on appeal the appellant should report to the </w:t>
      </w:r>
      <w:r w:rsidR="00BD4E27" w:rsidRPr="00376102">
        <w:rPr>
          <w:rFonts w:ascii="Arial Narrow" w:hAnsi="Arial Narrow"/>
          <w:sz w:val="28"/>
          <w:szCs w:val="28"/>
        </w:rPr>
        <w:t>Mount</w:t>
      </w:r>
      <w:r w:rsidRPr="00376102">
        <w:rPr>
          <w:rFonts w:ascii="Arial Narrow" w:hAnsi="Arial Narrow"/>
          <w:sz w:val="28"/>
          <w:szCs w:val="28"/>
        </w:rPr>
        <w:t xml:space="preserve"> Road Police Station within 7 days of the appeal being finalised. It is appropriate that such order be confirmed.</w:t>
      </w:r>
    </w:p>
    <w:p w:rsidR="00BD4E27" w:rsidRPr="00376102" w:rsidRDefault="00BD4E27" w:rsidP="00BD4E27">
      <w:pPr>
        <w:pStyle w:val="ListParagraph"/>
        <w:spacing w:after="0" w:line="240" w:lineRule="auto"/>
        <w:jc w:val="both"/>
        <w:rPr>
          <w:rFonts w:ascii="Arial Narrow" w:hAnsi="Arial Narrow"/>
          <w:sz w:val="28"/>
          <w:szCs w:val="28"/>
        </w:rPr>
      </w:pPr>
    </w:p>
    <w:p w:rsidR="00881BBE" w:rsidRPr="00376102" w:rsidRDefault="00881BBE" w:rsidP="004A70D7">
      <w:pPr>
        <w:pStyle w:val="ListParagraph"/>
        <w:numPr>
          <w:ilvl w:val="0"/>
          <w:numId w:val="2"/>
        </w:numPr>
        <w:spacing w:after="0" w:line="240" w:lineRule="auto"/>
        <w:ind w:left="720" w:hanging="720"/>
        <w:jc w:val="both"/>
        <w:rPr>
          <w:rFonts w:ascii="Arial Narrow" w:hAnsi="Arial Narrow"/>
          <w:sz w:val="28"/>
          <w:szCs w:val="28"/>
        </w:rPr>
      </w:pPr>
      <w:r w:rsidRPr="00376102">
        <w:rPr>
          <w:rFonts w:ascii="Arial Narrow" w:hAnsi="Arial Narrow"/>
          <w:sz w:val="28"/>
          <w:szCs w:val="28"/>
        </w:rPr>
        <w:t>I therefore make the following order:</w:t>
      </w:r>
    </w:p>
    <w:p w:rsidR="00BD4E27" w:rsidRPr="00376102" w:rsidRDefault="00BD4E27" w:rsidP="00BD4E27">
      <w:pPr>
        <w:pStyle w:val="ListParagraph"/>
        <w:spacing w:after="0" w:line="240" w:lineRule="auto"/>
        <w:jc w:val="both"/>
        <w:rPr>
          <w:rFonts w:ascii="Arial Narrow" w:hAnsi="Arial Narrow"/>
          <w:sz w:val="28"/>
          <w:szCs w:val="28"/>
        </w:rPr>
      </w:pPr>
    </w:p>
    <w:p w:rsidR="00BD4E27" w:rsidRDefault="00881BBE" w:rsidP="00BD3CE3">
      <w:pPr>
        <w:pStyle w:val="ListParagraph"/>
        <w:numPr>
          <w:ilvl w:val="6"/>
          <w:numId w:val="2"/>
        </w:numPr>
        <w:spacing w:after="0" w:line="240" w:lineRule="auto"/>
        <w:ind w:left="1440" w:hanging="360"/>
        <w:jc w:val="both"/>
        <w:rPr>
          <w:rFonts w:ascii="Arial Narrow" w:hAnsi="Arial Narrow"/>
          <w:sz w:val="28"/>
          <w:szCs w:val="28"/>
        </w:rPr>
      </w:pPr>
      <w:r w:rsidRPr="00376102">
        <w:rPr>
          <w:rFonts w:ascii="Arial Narrow" w:hAnsi="Arial Narrow"/>
          <w:sz w:val="28"/>
          <w:szCs w:val="28"/>
        </w:rPr>
        <w:t>The appeal is dismissed.</w:t>
      </w:r>
    </w:p>
    <w:p w:rsidR="00376102" w:rsidRPr="00376102" w:rsidRDefault="00376102" w:rsidP="00376102">
      <w:pPr>
        <w:pStyle w:val="ListParagraph"/>
        <w:spacing w:after="0" w:line="240" w:lineRule="auto"/>
        <w:ind w:left="1440"/>
        <w:jc w:val="both"/>
        <w:rPr>
          <w:rFonts w:ascii="Arial Narrow" w:hAnsi="Arial Narrow"/>
          <w:sz w:val="28"/>
          <w:szCs w:val="28"/>
        </w:rPr>
      </w:pPr>
    </w:p>
    <w:p w:rsidR="00BD4E27" w:rsidRPr="00376102" w:rsidRDefault="00BD4E27" w:rsidP="00BD4E27">
      <w:pPr>
        <w:pStyle w:val="ListParagraph"/>
        <w:numPr>
          <w:ilvl w:val="6"/>
          <w:numId w:val="2"/>
        </w:numPr>
        <w:spacing w:after="0" w:line="240" w:lineRule="auto"/>
        <w:ind w:left="1440" w:hanging="360"/>
        <w:jc w:val="both"/>
        <w:rPr>
          <w:rFonts w:ascii="Arial Narrow" w:hAnsi="Arial Narrow"/>
          <w:sz w:val="28"/>
          <w:szCs w:val="28"/>
        </w:rPr>
      </w:pPr>
      <w:r w:rsidRPr="00376102">
        <w:rPr>
          <w:rFonts w:ascii="Arial Narrow" w:hAnsi="Arial Narrow"/>
          <w:sz w:val="28"/>
          <w:szCs w:val="28"/>
        </w:rPr>
        <w:t>T</w:t>
      </w:r>
      <w:r w:rsidR="00881BBE" w:rsidRPr="00376102">
        <w:rPr>
          <w:rFonts w:ascii="Arial Narrow" w:hAnsi="Arial Narrow"/>
          <w:sz w:val="28"/>
          <w:szCs w:val="28"/>
        </w:rPr>
        <w:t>he appellant’s convictions on counts 1 – 2</w:t>
      </w:r>
      <w:r w:rsidRPr="00376102">
        <w:rPr>
          <w:rFonts w:ascii="Arial Narrow" w:hAnsi="Arial Narrow"/>
          <w:sz w:val="28"/>
          <w:szCs w:val="28"/>
        </w:rPr>
        <w:t xml:space="preserve">2 </w:t>
      </w:r>
      <w:r w:rsidR="00881BBE" w:rsidRPr="00376102">
        <w:rPr>
          <w:rFonts w:ascii="Arial Narrow" w:hAnsi="Arial Narrow"/>
          <w:sz w:val="28"/>
          <w:szCs w:val="28"/>
        </w:rPr>
        <w:t>and the sentences imposed in respect thereof are confirmed.</w:t>
      </w:r>
    </w:p>
    <w:p w:rsidR="00376102" w:rsidRDefault="00376102" w:rsidP="00376102">
      <w:pPr>
        <w:pStyle w:val="ListParagraph"/>
        <w:spacing w:after="0" w:line="240" w:lineRule="auto"/>
        <w:ind w:left="1440"/>
        <w:jc w:val="both"/>
        <w:rPr>
          <w:rFonts w:ascii="Arial Narrow" w:hAnsi="Arial Narrow"/>
          <w:sz w:val="28"/>
          <w:szCs w:val="28"/>
        </w:rPr>
      </w:pPr>
    </w:p>
    <w:p w:rsidR="004A70D7" w:rsidRPr="00376102" w:rsidRDefault="00BD4E27" w:rsidP="00BD4E27">
      <w:pPr>
        <w:pStyle w:val="ListParagraph"/>
        <w:numPr>
          <w:ilvl w:val="6"/>
          <w:numId w:val="2"/>
        </w:numPr>
        <w:spacing w:after="0" w:line="240" w:lineRule="auto"/>
        <w:ind w:left="1440" w:hanging="360"/>
        <w:jc w:val="both"/>
        <w:rPr>
          <w:rFonts w:ascii="Arial Narrow" w:hAnsi="Arial Narrow"/>
          <w:sz w:val="28"/>
          <w:szCs w:val="28"/>
        </w:rPr>
      </w:pPr>
      <w:r w:rsidRPr="00376102">
        <w:rPr>
          <w:rFonts w:ascii="Arial Narrow" w:hAnsi="Arial Narrow"/>
          <w:sz w:val="28"/>
          <w:szCs w:val="28"/>
        </w:rPr>
        <w:t>T</w:t>
      </w:r>
      <w:r w:rsidR="00881BBE" w:rsidRPr="00376102">
        <w:rPr>
          <w:rFonts w:ascii="Arial Narrow" w:hAnsi="Arial Narrow"/>
          <w:sz w:val="28"/>
          <w:szCs w:val="28"/>
        </w:rPr>
        <w:t>he appellant is ordered to report to the M</w:t>
      </w:r>
      <w:r w:rsidRPr="00376102">
        <w:rPr>
          <w:rFonts w:ascii="Arial Narrow" w:hAnsi="Arial Narrow"/>
          <w:sz w:val="28"/>
          <w:szCs w:val="28"/>
        </w:rPr>
        <w:t>ount</w:t>
      </w:r>
      <w:r w:rsidR="00881BBE" w:rsidRPr="00376102">
        <w:rPr>
          <w:rFonts w:ascii="Arial Narrow" w:hAnsi="Arial Narrow"/>
          <w:sz w:val="28"/>
          <w:szCs w:val="28"/>
        </w:rPr>
        <w:t xml:space="preserve"> Road Police Station within 7 day</w:t>
      </w:r>
      <w:r w:rsidRPr="00376102">
        <w:rPr>
          <w:rFonts w:ascii="Arial Narrow" w:hAnsi="Arial Narrow"/>
          <w:sz w:val="28"/>
          <w:szCs w:val="28"/>
        </w:rPr>
        <w:t>s of the date of this O</w:t>
      </w:r>
      <w:r w:rsidR="00881BBE" w:rsidRPr="00376102">
        <w:rPr>
          <w:rFonts w:ascii="Arial Narrow" w:hAnsi="Arial Narrow"/>
          <w:sz w:val="28"/>
          <w:szCs w:val="28"/>
        </w:rPr>
        <w:t>rder.</w:t>
      </w:r>
    </w:p>
    <w:p w:rsidR="004A70D7" w:rsidRPr="00376102" w:rsidRDefault="004A70D7" w:rsidP="004A70D7">
      <w:pPr>
        <w:spacing w:after="0" w:line="240" w:lineRule="auto"/>
        <w:jc w:val="both"/>
        <w:rPr>
          <w:rFonts w:ascii="Arial Narrow" w:hAnsi="Arial Narrow"/>
          <w:sz w:val="28"/>
          <w:szCs w:val="28"/>
        </w:rPr>
      </w:pPr>
    </w:p>
    <w:p w:rsidR="004A70D7" w:rsidRDefault="004A70D7" w:rsidP="004A70D7">
      <w:pPr>
        <w:spacing w:after="0" w:line="240" w:lineRule="auto"/>
        <w:jc w:val="both"/>
        <w:rPr>
          <w:rFonts w:ascii="Arial Narrow" w:hAnsi="Arial Narrow"/>
          <w:sz w:val="28"/>
          <w:szCs w:val="28"/>
        </w:rPr>
      </w:pPr>
    </w:p>
    <w:p w:rsidR="00376102" w:rsidRDefault="00376102" w:rsidP="004A70D7">
      <w:pPr>
        <w:spacing w:after="0" w:line="240" w:lineRule="auto"/>
        <w:jc w:val="both"/>
        <w:rPr>
          <w:rFonts w:ascii="Arial Narrow" w:hAnsi="Arial Narrow"/>
          <w:sz w:val="28"/>
          <w:szCs w:val="28"/>
        </w:rPr>
      </w:pPr>
    </w:p>
    <w:p w:rsidR="0054474D" w:rsidRDefault="0054474D" w:rsidP="004A70D7">
      <w:pPr>
        <w:spacing w:after="0" w:line="240" w:lineRule="auto"/>
        <w:jc w:val="both"/>
        <w:rPr>
          <w:rFonts w:ascii="Arial Narrow" w:hAnsi="Arial Narrow"/>
          <w:sz w:val="28"/>
          <w:szCs w:val="28"/>
        </w:rPr>
      </w:pPr>
    </w:p>
    <w:p w:rsidR="0054474D" w:rsidRDefault="0054474D" w:rsidP="004A70D7">
      <w:pPr>
        <w:spacing w:after="0" w:line="240" w:lineRule="auto"/>
        <w:jc w:val="both"/>
        <w:rPr>
          <w:rFonts w:ascii="Arial Narrow" w:hAnsi="Arial Narrow"/>
          <w:sz w:val="28"/>
          <w:szCs w:val="28"/>
        </w:rPr>
      </w:pPr>
    </w:p>
    <w:p w:rsidR="0054474D" w:rsidRDefault="0054474D" w:rsidP="004A70D7">
      <w:pPr>
        <w:spacing w:after="0" w:line="240" w:lineRule="auto"/>
        <w:jc w:val="both"/>
        <w:rPr>
          <w:rFonts w:ascii="Arial Narrow" w:hAnsi="Arial Narrow"/>
          <w:sz w:val="28"/>
          <w:szCs w:val="28"/>
        </w:rPr>
      </w:pPr>
    </w:p>
    <w:p w:rsidR="0054474D" w:rsidRDefault="0054474D" w:rsidP="004A70D7">
      <w:pPr>
        <w:spacing w:after="0" w:line="240" w:lineRule="auto"/>
        <w:jc w:val="both"/>
        <w:rPr>
          <w:rFonts w:ascii="Arial Narrow" w:hAnsi="Arial Narrow"/>
          <w:sz w:val="28"/>
          <w:szCs w:val="28"/>
        </w:rPr>
      </w:pPr>
    </w:p>
    <w:p w:rsidR="00376102" w:rsidRDefault="00376102" w:rsidP="004A70D7">
      <w:pPr>
        <w:spacing w:after="0" w:line="240" w:lineRule="auto"/>
        <w:jc w:val="both"/>
        <w:rPr>
          <w:rFonts w:ascii="Arial Narrow" w:hAnsi="Arial Narrow"/>
          <w:sz w:val="28"/>
          <w:szCs w:val="28"/>
        </w:rPr>
      </w:pPr>
      <w:r>
        <w:rPr>
          <w:rFonts w:ascii="Arial Narrow" w:hAnsi="Arial Narrow"/>
          <w:noProof/>
          <w:sz w:val="28"/>
          <w:szCs w:val="28"/>
          <w:lang w:val="en-ZA" w:eastAsia="en-ZA"/>
        </w:rPr>
        <mc:AlternateContent>
          <mc:Choice Requires="wps">
            <w:drawing>
              <wp:inline distT="0" distB="0" distL="0" distR="0">
                <wp:extent cx="2788276" cy="0"/>
                <wp:effectExtent l="0" t="0" r="31750" b="19050"/>
                <wp:docPr id="1" name="Straight Connector 1"/>
                <wp:cNvGraphicFramePr/>
                <a:graphic xmlns:a="http://schemas.openxmlformats.org/drawingml/2006/main">
                  <a:graphicData uri="http://schemas.microsoft.com/office/word/2010/wordprocessingShape">
                    <wps:wsp>
                      <wps:cNvCnPr/>
                      <wps:spPr>
                        <a:xfrm>
                          <a:off x="0" y="0"/>
                          <a:ext cx="27882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3B4849B"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219.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" strokecolor="#5b9bd5 [3204]" strokeweight=".5pt">
                <v:stroke joinstyle="miter"/>
                <w10:anchorlock/>
              </v:line>
            </w:pict>
          </mc:Fallback>
        </mc:AlternateContent>
      </w:r>
    </w:p>
    <w:p w:rsidR="00376102" w:rsidRDefault="00376102" w:rsidP="004A70D7">
      <w:pPr>
        <w:spacing w:after="0" w:line="240" w:lineRule="auto"/>
        <w:jc w:val="both"/>
        <w:rPr>
          <w:rFonts w:ascii="Arial Narrow" w:hAnsi="Arial Narrow"/>
          <w:sz w:val="28"/>
          <w:szCs w:val="28"/>
        </w:rPr>
      </w:pPr>
      <w:r>
        <w:rPr>
          <w:rFonts w:ascii="Arial Narrow" w:hAnsi="Arial Narrow"/>
          <w:sz w:val="28"/>
          <w:szCs w:val="28"/>
        </w:rPr>
        <w:t>G. G. GOOSEN</w:t>
      </w:r>
    </w:p>
    <w:p w:rsidR="00376102" w:rsidRDefault="00376102" w:rsidP="004A70D7">
      <w:pPr>
        <w:spacing w:after="0" w:line="240" w:lineRule="auto"/>
        <w:jc w:val="both"/>
        <w:rPr>
          <w:rFonts w:ascii="Arial Narrow" w:hAnsi="Arial Narrow"/>
          <w:sz w:val="28"/>
          <w:szCs w:val="28"/>
        </w:rPr>
      </w:pPr>
      <w:r>
        <w:rPr>
          <w:rFonts w:ascii="Arial Narrow" w:hAnsi="Arial Narrow"/>
          <w:sz w:val="28"/>
          <w:szCs w:val="28"/>
        </w:rPr>
        <w:t>JUDGE OF THE HIGH COURT</w:t>
      </w:r>
    </w:p>
    <w:p w:rsidR="00376102" w:rsidRDefault="00376102" w:rsidP="004A70D7">
      <w:pPr>
        <w:spacing w:after="0" w:line="240" w:lineRule="auto"/>
        <w:jc w:val="both"/>
        <w:rPr>
          <w:rFonts w:ascii="Arial Narrow" w:hAnsi="Arial Narrow"/>
          <w:sz w:val="28"/>
          <w:szCs w:val="28"/>
        </w:rPr>
      </w:pPr>
    </w:p>
    <w:p w:rsidR="00376102" w:rsidRDefault="00376102" w:rsidP="004A70D7">
      <w:pPr>
        <w:spacing w:after="0" w:line="240" w:lineRule="auto"/>
        <w:jc w:val="both"/>
        <w:rPr>
          <w:rFonts w:ascii="Arial Narrow" w:hAnsi="Arial Narrow"/>
          <w:sz w:val="28"/>
          <w:szCs w:val="28"/>
        </w:rPr>
      </w:pPr>
    </w:p>
    <w:p w:rsidR="00376102" w:rsidRDefault="00376102" w:rsidP="004A70D7">
      <w:pPr>
        <w:spacing w:after="0" w:line="240" w:lineRule="auto"/>
        <w:jc w:val="both"/>
        <w:rPr>
          <w:rFonts w:ascii="Arial Narrow" w:hAnsi="Arial Narrow"/>
          <w:sz w:val="28"/>
          <w:szCs w:val="28"/>
        </w:rPr>
      </w:pPr>
    </w:p>
    <w:p w:rsidR="00376102" w:rsidRDefault="00376102" w:rsidP="004A70D7">
      <w:pPr>
        <w:spacing w:after="0" w:line="240" w:lineRule="auto"/>
        <w:jc w:val="both"/>
        <w:rPr>
          <w:rFonts w:ascii="Arial Narrow" w:hAnsi="Arial Narrow"/>
          <w:sz w:val="28"/>
          <w:szCs w:val="28"/>
        </w:rPr>
      </w:pPr>
    </w:p>
    <w:p w:rsidR="0054474D" w:rsidRDefault="0054474D" w:rsidP="004A70D7">
      <w:pPr>
        <w:spacing w:after="0" w:line="240" w:lineRule="auto"/>
        <w:jc w:val="both"/>
        <w:rPr>
          <w:rFonts w:ascii="Arial Narrow" w:hAnsi="Arial Narrow"/>
          <w:sz w:val="28"/>
          <w:szCs w:val="28"/>
        </w:rPr>
      </w:pPr>
    </w:p>
    <w:p w:rsidR="0054474D" w:rsidRDefault="0054474D" w:rsidP="004A70D7">
      <w:pPr>
        <w:spacing w:after="0" w:line="240" w:lineRule="auto"/>
        <w:jc w:val="both"/>
        <w:rPr>
          <w:rFonts w:ascii="Arial Narrow" w:hAnsi="Arial Narrow"/>
          <w:sz w:val="28"/>
          <w:szCs w:val="28"/>
        </w:rPr>
      </w:pPr>
    </w:p>
    <w:p w:rsidR="0054474D" w:rsidRDefault="0054474D" w:rsidP="004A70D7">
      <w:pPr>
        <w:spacing w:after="0" w:line="240" w:lineRule="auto"/>
        <w:jc w:val="both"/>
        <w:rPr>
          <w:rFonts w:ascii="Arial Narrow" w:hAnsi="Arial Narrow"/>
          <w:sz w:val="28"/>
          <w:szCs w:val="28"/>
        </w:rPr>
      </w:pPr>
    </w:p>
    <w:p w:rsidR="0054474D" w:rsidRDefault="0054474D" w:rsidP="004A70D7">
      <w:pPr>
        <w:spacing w:after="0" w:line="240" w:lineRule="auto"/>
        <w:jc w:val="both"/>
        <w:rPr>
          <w:rFonts w:ascii="Arial Narrow" w:hAnsi="Arial Narrow"/>
          <w:sz w:val="28"/>
          <w:szCs w:val="28"/>
        </w:rPr>
      </w:pPr>
    </w:p>
    <w:p w:rsidR="00376102" w:rsidRDefault="00376102" w:rsidP="004A70D7">
      <w:pPr>
        <w:spacing w:after="0" w:line="240" w:lineRule="auto"/>
        <w:jc w:val="both"/>
        <w:rPr>
          <w:rFonts w:ascii="Arial Narrow" w:hAnsi="Arial Narrow"/>
          <w:sz w:val="28"/>
          <w:szCs w:val="28"/>
        </w:rPr>
      </w:pPr>
      <w:r>
        <w:rPr>
          <w:rFonts w:ascii="Arial Narrow" w:hAnsi="Arial Narrow"/>
          <w:b/>
          <w:sz w:val="28"/>
          <w:szCs w:val="28"/>
        </w:rPr>
        <w:t>BESHE, J.</w:t>
      </w:r>
    </w:p>
    <w:p w:rsidR="00376102" w:rsidRDefault="00376102" w:rsidP="004A70D7">
      <w:pPr>
        <w:spacing w:after="0" w:line="240" w:lineRule="auto"/>
        <w:jc w:val="both"/>
        <w:rPr>
          <w:rFonts w:ascii="Arial Narrow" w:hAnsi="Arial Narrow"/>
          <w:sz w:val="28"/>
          <w:szCs w:val="28"/>
        </w:rPr>
      </w:pPr>
    </w:p>
    <w:p w:rsidR="00376102" w:rsidRDefault="00376102" w:rsidP="004A70D7">
      <w:pPr>
        <w:spacing w:after="0" w:line="240" w:lineRule="auto"/>
        <w:jc w:val="both"/>
        <w:rPr>
          <w:rFonts w:ascii="Arial Narrow" w:hAnsi="Arial Narrow"/>
          <w:sz w:val="28"/>
          <w:szCs w:val="28"/>
        </w:rPr>
      </w:pPr>
    </w:p>
    <w:p w:rsidR="00376102" w:rsidRDefault="00376102" w:rsidP="004A70D7">
      <w:pPr>
        <w:spacing w:after="0" w:line="240" w:lineRule="auto"/>
        <w:jc w:val="both"/>
        <w:rPr>
          <w:rFonts w:ascii="Arial Narrow" w:hAnsi="Arial Narrow"/>
          <w:sz w:val="28"/>
          <w:szCs w:val="28"/>
        </w:rPr>
      </w:pPr>
    </w:p>
    <w:p w:rsidR="00376102" w:rsidRDefault="00376102" w:rsidP="004A70D7">
      <w:pPr>
        <w:spacing w:after="0" w:line="240" w:lineRule="auto"/>
        <w:jc w:val="both"/>
        <w:rPr>
          <w:rFonts w:ascii="Arial Narrow" w:hAnsi="Arial Narrow"/>
          <w:sz w:val="28"/>
          <w:szCs w:val="28"/>
        </w:rPr>
      </w:pPr>
      <w:r>
        <w:rPr>
          <w:rFonts w:ascii="Arial Narrow" w:hAnsi="Arial Narrow"/>
          <w:sz w:val="28"/>
          <w:szCs w:val="28"/>
        </w:rPr>
        <w:t>I agree.</w:t>
      </w:r>
    </w:p>
    <w:p w:rsidR="00376102" w:rsidRDefault="00376102" w:rsidP="004A70D7">
      <w:pPr>
        <w:spacing w:after="0" w:line="240" w:lineRule="auto"/>
        <w:jc w:val="both"/>
        <w:rPr>
          <w:rFonts w:ascii="Arial Narrow" w:hAnsi="Arial Narrow"/>
          <w:sz w:val="28"/>
          <w:szCs w:val="28"/>
        </w:rPr>
      </w:pPr>
    </w:p>
    <w:p w:rsidR="00376102" w:rsidRDefault="00376102" w:rsidP="004A70D7">
      <w:pPr>
        <w:spacing w:after="0" w:line="240" w:lineRule="auto"/>
        <w:jc w:val="both"/>
        <w:rPr>
          <w:rFonts w:ascii="Arial Narrow" w:hAnsi="Arial Narrow"/>
          <w:sz w:val="28"/>
          <w:szCs w:val="28"/>
        </w:rPr>
      </w:pPr>
    </w:p>
    <w:p w:rsidR="00376102" w:rsidRDefault="00376102" w:rsidP="004A70D7">
      <w:pPr>
        <w:spacing w:after="0" w:line="240" w:lineRule="auto"/>
        <w:jc w:val="both"/>
        <w:rPr>
          <w:rFonts w:ascii="Arial Narrow" w:hAnsi="Arial Narrow"/>
          <w:sz w:val="28"/>
          <w:szCs w:val="28"/>
        </w:rPr>
      </w:pPr>
    </w:p>
    <w:p w:rsidR="00376102" w:rsidRDefault="00376102" w:rsidP="004A70D7">
      <w:pPr>
        <w:spacing w:after="0" w:line="240" w:lineRule="auto"/>
        <w:jc w:val="both"/>
        <w:rPr>
          <w:rFonts w:ascii="Arial Narrow" w:hAnsi="Arial Narrow"/>
          <w:sz w:val="28"/>
          <w:szCs w:val="28"/>
        </w:rPr>
      </w:pPr>
    </w:p>
    <w:p w:rsidR="00376102" w:rsidRDefault="00376102" w:rsidP="004A70D7">
      <w:pPr>
        <w:spacing w:after="0" w:line="240" w:lineRule="auto"/>
        <w:jc w:val="both"/>
        <w:rPr>
          <w:rFonts w:ascii="Arial Narrow" w:hAnsi="Arial Narrow"/>
          <w:sz w:val="28"/>
          <w:szCs w:val="28"/>
        </w:rPr>
      </w:pPr>
      <w:r>
        <w:rPr>
          <w:rFonts w:ascii="Arial Narrow" w:hAnsi="Arial Narrow"/>
          <w:noProof/>
          <w:sz w:val="28"/>
          <w:szCs w:val="28"/>
          <w:lang w:val="en-ZA" w:eastAsia="en-ZA"/>
        </w:rPr>
        <mc:AlternateContent>
          <mc:Choice Requires="wps">
            <w:drawing>
              <wp:inline distT="0" distB="0" distL="0" distR="0">
                <wp:extent cx="2749639" cy="0"/>
                <wp:effectExtent l="0" t="0" r="31750" b="19050"/>
                <wp:docPr id="2" name="Straight Connector 2"/>
                <wp:cNvGraphicFramePr/>
                <a:graphic xmlns:a="http://schemas.openxmlformats.org/drawingml/2006/main">
                  <a:graphicData uri="http://schemas.microsoft.com/office/word/2010/wordprocessingShape">
                    <wps:wsp>
                      <wps:cNvCnPr/>
                      <wps:spPr>
                        <a:xfrm>
                          <a:off x="0" y="0"/>
                          <a:ext cx="27496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2B34C33"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2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" strokecolor="#5b9bd5 [3204]" strokeweight=".5pt">
                <v:stroke joinstyle="miter"/>
                <w10:anchorlock/>
              </v:line>
            </w:pict>
          </mc:Fallback>
        </mc:AlternateContent>
      </w:r>
    </w:p>
    <w:p w:rsidR="00376102" w:rsidRDefault="00376102" w:rsidP="004A70D7">
      <w:pPr>
        <w:spacing w:after="0" w:line="240" w:lineRule="auto"/>
        <w:jc w:val="both"/>
        <w:rPr>
          <w:rFonts w:ascii="Arial Narrow" w:hAnsi="Arial Narrow"/>
          <w:sz w:val="28"/>
          <w:szCs w:val="28"/>
        </w:rPr>
      </w:pPr>
      <w:r>
        <w:rPr>
          <w:rFonts w:ascii="Arial Narrow" w:hAnsi="Arial Narrow"/>
          <w:sz w:val="28"/>
          <w:szCs w:val="28"/>
        </w:rPr>
        <w:t>N. G. BESHE</w:t>
      </w:r>
    </w:p>
    <w:p w:rsidR="00376102" w:rsidRDefault="00376102" w:rsidP="004A70D7">
      <w:pPr>
        <w:spacing w:after="0" w:line="240" w:lineRule="auto"/>
        <w:jc w:val="both"/>
        <w:rPr>
          <w:rFonts w:ascii="Arial Narrow" w:hAnsi="Arial Narrow"/>
          <w:sz w:val="28"/>
          <w:szCs w:val="28"/>
        </w:rPr>
      </w:pPr>
      <w:r>
        <w:rPr>
          <w:rFonts w:ascii="Arial Narrow" w:hAnsi="Arial Narrow"/>
          <w:sz w:val="28"/>
          <w:szCs w:val="28"/>
        </w:rPr>
        <w:t>JUDGE OF THE HIGH COURT</w:t>
      </w:r>
    </w:p>
    <w:p w:rsidR="00376102" w:rsidRDefault="00376102" w:rsidP="004A70D7">
      <w:pPr>
        <w:spacing w:after="0" w:line="240" w:lineRule="auto"/>
        <w:jc w:val="both"/>
        <w:rPr>
          <w:rFonts w:ascii="Arial Narrow" w:hAnsi="Arial Narrow"/>
          <w:sz w:val="28"/>
          <w:szCs w:val="28"/>
        </w:rPr>
      </w:pPr>
    </w:p>
    <w:p w:rsidR="00376102" w:rsidRDefault="00376102" w:rsidP="004A70D7">
      <w:pPr>
        <w:spacing w:after="0" w:line="240" w:lineRule="auto"/>
        <w:jc w:val="both"/>
        <w:rPr>
          <w:rFonts w:ascii="Arial Narrow" w:hAnsi="Arial Narrow"/>
          <w:sz w:val="28"/>
          <w:szCs w:val="28"/>
        </w:rPr>
      </w:pPr>
    </w:p>
    <w:p w:rsidR="00376102" w:rsidRDefault="00376102" w:rsidP="004A70D7">
      <w:pPr>
        <w:spacing w:after="0" w:line="240" w:lineRule="auto"/>
        <w:jc w:val="both"/>
        <w:rPr>
          <w:rFonts w:ascii="Arial Narrow" w:hAnsi="Arial Narrow"/>
          <w:sz w:val="28"/>
          <w:szCs w:val="28"/>
        </w:rPr>
      </w:pPr>
    </w:p>
    <w:p w:rsidR="00376102" w:rsidRDefault="00376102" w:rsidP="004A70D7">
      <w:pPr>
        <w:spacing w:after="0" w:line="240" w:lineRule="auto"/>
        <w:jc w:val="both"/>
        <w:rPr>
          <w:rFonts w:ascii="Arial Narrow" w:hAnsi="Arial Narrow"/>
          <w:sz w:val="28"/>
          <w:szCs w:val="28"/>
        </w:rPr>
      </w:pPr>
    </w:p>
    <w:p w:rsidR="00376102" w:rsidRDefault="00376102" w:rsidP="004A70D7">
      <w:pPr>
        <w:spacing w:after="0" w:line="240" w:lineRule="auto"/>
        <w:jc w:val="both"/>
        <w:rPr>
          <w:rFonts w:ascii="Arial Narrow" w:hAnsi="Arial Narrow"/>
          <w:sz w:val="28"/>
          <w:szCs w:val="28"/>
        </w:rPr>
      </w:pPr>
      <w:r>
        <w:rPr>
          <w:rFonts w:ascii="Arial Narrow" w:hAnsi="Arial Narrow"/>
          <w:sz w:val="28"/>
          <w:szCs w:val="28"/>
        </w:rPr>
        <w:t>Appearances:</w:t>
      </w:r>
      <w:r>
        <w:rPr>
          <w:rFonts w:ascii="Arial Narrow" w:hAnsi="Arial Narrow"/>
          <w:sz w:val="28"/>
          <w:szCs w:val="28"/>
        </w:rPr>
        <w:tab/>
      </w:r>
      <w:r>
        <w:rPr>
          <w:rFonts w:ascii="Arial Narrow" w:hAnsi="Arial Narrow"/>
          <w:sz w:val="28"/>
          <w:szCs w:val="28"/>
        </w:rPr>
        <w:tab/>
        <w:t>For the Appellant</w:t>
      </w:r>
    </w:p>
    <w:p w:rsidR="00376102" w:rsidRDefault="00376102" w:rsidP="004A70D7">
      <w:pPr>
        <w:spacing w:after="0" w:line="240"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ab/>
      </w:r>
      <w:r>
        <w:rPr>
          <w:rFonts w:ascii="Arial Narrow" w:hAnsi="Arial Narrow"/>
          <w:sz w:val="28"/>
          <w:szCs w:val="28"/>
        </w:rPr>
        <w:tab/>
        <w:t>Adv. T. N. Price SC</w:t>
      </w:r>
    </w:p>
    <w:p w:rsidR="00376102" w:rsidRDefault="00376102" w:rsidP="004A70D7">
      <w:pPr>
        <w:spacing w:after="0" w:line="240"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ab/>
      </w:r>
      <w:r>
        <w:rPr>
          <w:rFonts w:ascii="Arial Narrow" w:hAnsi="Arial Narrow"/>
          <w:sz w:val="28"/>
          <w:szCs w:val="28"/>
        </w:rPr>
        <w:tab/>
        <w:t>Instructed by Griebenouw Inc.</w:t>
      </w:r>
    </w:p>
    <w:p w:rsidR="00376102" w:rsidRDefault="00376102" w:rsidP="004A70D7">
      <w:pPr>
        <w:spacing w:after="0" w:line="240"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ab/>
      </w:r>
      <w:r>
        <w:rPr>
          <w:rFonts w:ascii="Arial Narrow" w:hAnsi="Arial Narrow"/>
          <w:sz w:val="28"/>
          <w:szCs w:val="28"/>
        </w:rPr>
        <w:tab/>
        <w:t>C/o Netteltons Attorneys</w:t>
      </w:r>
    </w:p>
    <w:p w:rsidR="00376102" w:rsidRDefault="00376102" w:rsidP="004A70D7">
      <w:pPr>
        <w:spacing w:after="0" w:line="240" w:lineRule="auto"/>
        <w:jc w:val="both"/>
        <w:rPr>
          <w:rFonts w:ascii="Arial Narrow" w:hAnsi="Arial Narrow"/>
          <w:sz w:val="28"/>
          <w:szCs w:val="28"/>
        </w:rPr>
      </w:pPr>
    </w:p>
    <w:p w:rsidR="00376102" w:rsidRDefault="00376102" w:rsidP="004A70D7">
      <w:pPr>
        <w:spacing w:after="0" w:line="240"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ab/>
      </w:r>
      <w:r>
        <w:rPr>
          <w:rFonts w:ascii="Arial Narrow" w:hAnsi="Arial Narrow"/>
          <w:sz w:val="28"/>
          <w:szCs w:val="28"/>
        </w:rPr>
        <w:tab/>
        <w:t>For the Respondent</w:t>
      </w:r>
    </w:p>
    <w:p w:rsidR="00376102" w:rsidRDefault="00376102" w:rsidP="004A70D7">
      <w:pPr>
        <w:spacing w:after="0" w:line="240"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ab/>
      </w:r>
      <w:r>
        <w:rPr>
          <w:rFonts w:ascii="Arial Narrow" w:hAnsi="Arial Narrow"/>
          <w:sz w:val="28"/>
          <w:szCs w:val="28"/>
        </w:rPr>
        <w:tab/>
        <w:t>Adv. A. de Jager</w:t>
      </w:r>
    </w:p>
    <w:p w:rsidR="00376102" w:rsidRPr="00376102" w:rsidRDefault="00376102" w:rsidP="004A70D7">
      <w:pPr>
        <w:spacing w:after="0" w:line="240" w:lineRule="auto"/>
        <w:jc w:val="both"/>
        <w:rPr>
          <w:rFonts w:ascii="Arial Narrow" w:hAnsi="Arial Narrow"/>
          <w:sz w:val="28"/>
          <w:szCs w:val="28"/>
        </w:rPr>
      </w:pPr>
      <w:r>
        <w:rPr>
          <w:rFonts w:ascii="Arial Narrow" w:hAnsi="Arial Narrow"/>
          <w:sz w:val="28"/>
          <w:szCs w:val="28"/>
        </w:rPr>
        <w:tab/>
      </w:r>
      <w:r>
        <w:rPr>
          <w:rFonts w:ascii="Arial Narrow" w:hAnsi="Arial Narrow"/>
          <w:sz w:val="28"/>
          <w:szCs w:val="28"/>
        </w:rPr>
        <w:tab/>
      </w:r>
      <w:r>
        <w:rPr>
          <w:rFonts w:ascii="Arial Narrow" w:hAnsi="Arial Narrow"/>
          <w:sz w:val="28"/>
          <w:szCs w:val="28"/>
        </w:rPr>
        <w:tab/>
        <w:t>Director of Public Prosecutions</w:t>
      </w:r>
    </w:p>
    <w:p w:rsidR="004A70D7" w:rsidRPr="00376102" w:rsidRDefault="004A70D7" w:rsidP="004A70D7">
      <w:pPr>
        <w:spacing w:after="0" w:line="240" w:lineRule="auto"/>
        <w:jc w:val="both"/>
        <w:rPr>
          <w:rFonts w:ascii="Arial Narrow" w:hAnsi="Arial Narrow"/>
          <w:sz w:val="28"/>
          <w:szCs w:val="28"/>
        </w:rPr>
      </w:pPr>
    </w:p>
    <w:sectPr w:rsidR="004A70D7" w:rsidRPr="00376102" w:rsidSect="002444F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4AE" w:rsidRDefault="00E874AE" w:rsidP="002F739A">
      <w:pPr>
        <w:spacing w:after="0" w:line="240" w:lineRule="auto"/>
      </w:pPr>
      <w:r>
        <w:separator/>
      </w:r>
    </w:p>
  </w:endnote>
  <w:endnote w:type="continuationSeparator" w:id="0">
    <w:p w:rsidR="00E874AE" w:rsidRDefault="00E874AE" w:rsidP="002F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4AE" w:rsidRDefault="00E874AE" w:rsidP="002F739A">
      <w:pPr>
        <w:spacing w:after="0" w:line="240" w:lineRule="auto"/>
      </w:pPr>
      <w:r>
        <w:separator/>
      </w:r>
    </w:p>
  </w:footnote>
  <w:footnote w:type="continuationSeparator" w:id="0">
    <w:p w:rsidR="00E874AE" w:rsidRDefault="00E874AE" w:rsidP="002F739A">
      <w:pPr>
        <w:spacing w:after="0" w:line="240" w:lineRule="auto"/>
      </w:pPr>
      <w:r>
        <w:continuationSeparator/>
      </w:r>
    </w:p>
  </w:footnote>
  <w:footnote w:id="1">
    <w:p w:rsidR="002F739A" w:rsidRPr="002F739A" w:rsidRDefault="002F739A">
      <w:pPr>
        <w:pStyle w:val="FootnoteText"/>
        <w:rPr>
          <w:rFonts w:ascii="Arial Narrow" w:hAnsi="Arial Narrow"/>
          <w:i/>
          <w:u w:val="single"/>
        </w:rPr>
      </w:pPr>
      <w:r w:rsidRPr="002F739A">
        <w:rPr>
          <w:rStyle w:val="FootnoteReference"/>
          <w:rFonts w:ascii="Arial Narrow" w:hAnsi="Arial Narrow"/>
        </w:rPr>
        <w:footnoteRef/>
      </w:r>
      <w:r w:rsidRPr="002F739A">
        <w:rPr>
          <w:rFonts w:ascii="Arial Narrow" w:hAnsi="Arial Narrow"/>
        </w:rPr>
        <w:t xml:space="preserve"> </w:t>
      </w:r>
      <w:r>
        <w:rPr>
          <w:rFonts w:ascii="Arial Narrow" w:hAnsi="Arial Narrow"/>
        </w:rPr>
        <w:t xml:space="preserve">Cf. </w:t>
      </w:r>
      <w:r>
        <w:rPr>
          <w:rFonts w:ascii="Arial Narrow" w:hAnsi="Arial Narrow"/>
          <w:u w:val="single"/>
        </w:rPr>
        <w:t>S v Immelman</w:t>
      </w:r>
      <w:r>
        <w:rPr>
          <w:rFonts w:ascii="Arial Narrow" w:hAnsi="Arial Narrow"/>
        </w:rPr>
        <w:t xml:space="preserve"> 1978 (3) SA 76 (A); </w:t>
      </w:r>
      <w:r>
        <w:rPr>
          <w:rFonts w:ascii="Arial Narrow" w:hAnsi="Arial Narrow"/>
          <w:u w:val="single"/>
        </w:rPr>
        <w:t>S v Calitz en ‘n Ander</w:t>
      </w:r>
      <w:r>
        <w:rPr>
          <w:rFonts w:ascii="Arial Narrow" w:hAnsi="Arial Narrow"/>
        </w:rPr>
        <w:t xml:space="preserve"> 2003 (1) SACR 116 (SCA); </w:t>
      </w:r>
      <w:r>
        <w:rPr>
          <w:rFonts w:ascii="Arial Narrow" w:hAnsi="Arial Narrow"/>
          <w:u w:val="single"/>
        </w:rPr>
        <w:t>Mocke v The State</w:t>
      </w:r>
      <w:r w:rsidRPr="002F739A">
        <w:rPr>
          <w:rFonts w:ascii="Arial Narrow" w:hAnsi="Arial Narrow"/>
          <w:i/>
        </w:rPr>
        <w:t xml:space="preserve"> </w:t>
      </w:r>
      <w:r w:rsidRPr="002F739A">
        <w:rPr>
          <w:rFonts w:ascii="Arial Narrow" w:hAnsi="Arial Narrow"/>
        </w:rPr>
        <w:t>[2008]</w:t>
      </w:r>
      <w:r>
        <w:rPr>
          <w:rFonts w:ascii="Arial Narrow" w:hAnsi="Arial Narrow"/>
        </w:rPr>
        <w:t xml:space="preserve"> 4 AllSA 330 (SCA); </w:t>
      </w:r>
      <w:r w:rsidRPr="002F739A">
        <w:rPr>
          <w:rFonts w:ascii="Arial Narrow" w:hAnsi="Arial Narrow"/>
          <w:u w:val="single"/>
        </w:rPr>
        <w:t>Strategic Liquor Services v Mumbi NO</w:t>
      </w:r>
      <w:r>
        <w:rPr>
          <w:rFonts w:ascii="Arial Narrow" w:hAnsi="Arial Narrow"/>
        </w:rPr>
        <w:t xml:space="preserve"> 2010 (2) SA 92 (C) </w:t>
      </w:r>
    </w:p>
  </w:footnote>
  <w:footnote w:id="2">
    <w:p w:rsidR="002F739A" w:rsidRPr="002F739A" w:rsidRDefault="002F739A">
      <w:pPr>
        <w:pStyle w:val="FootnoteText"/>
        <w:rPr>
          <w:rFonts w:ascii="Arial Narrow" w:hAnsi="Arial Narrow"/>
        </w:rPr>
      </w:pPr>
      <w:r w:rsidRPr="002F739A">
        <w:rPr>
          <w:rStyle w:val="FootnoteReference"/>
          <w:rFonts w:ascii="Arial Narrow" w:hAnsi="Arial Narrow"/>
        </w:rPr>
        <w:footnoteRef/>
      </w:r>
      <w:r w:rsidRPr="002F739A">
        <w:rPr>
          <w:rFonts w:ascii="Arial Narrow" w:hAnsi="Arial Narrow"/>
        </w:rPr>
        <w:t xml:space="preserve"> </w:t>
      </w:r>
      <w:r>
        <w:rPr>
          <w:rFonts w:ascii="Arial Narrow" w:hAnsi="Arial Narrow"/>
          <w:u w:val="single"/>
        </w:rPr>
        <w:t xml:space="preserve">S v Van der Berg and Another </w:t>
      </w:r>
      <w:r>
        <w:rPr>
          <w:rFonts w:ascii="Arial Narrow" w:hAnsi="Arial Narrow"/>
        </w:rPr>
        <w:t>2009 (1) SACR 661</w:t>
      </w:r>
    </w:p>
  </w:footnote>
  <w:footnote w:id="3">
    <w:p w:rsidR="002F739A" w:rsidRPr="002F739A" w:rsidRDefault="002F739A">
      <w:pPr>
        <w:pStyle w:val="FootnoteText"/>
        <w:rPr>
          <w:rFonts w:ascii="Arial Narrow" w:hAnsi="Arial Narrow"/>
        </w:rPr>
      </w:pPr>
      <w:r w:rsidRPr="002F739A">
        <w:rPr>
          <w:rStyle w:val="FootnoteReference"/>
          <w:rFonts w:ascii="Arial Narrow" w:hAnsi="Arial Narrow"/>
        </w:rPr>
        <w:footnoteRef/>
      </w:r>
      <w:r w:rsidRPr="002F739A">
        <w:rPr>
          <w:rFonts w:ascii="Arial Narrow" w:hAnsi="Arial Narrow"/>
        </w:rPr>
        <w:t xml:space="preserve"> 2004 (1) SACR (E) at 186 J – 187</w:t>
      </w:r>
      <w:r>
        <w:rPr>
          <w:rFonts w:ascii="Arial Narrow" w:hAnsi="Arial Narrow"/>
        </w:rPr>
        <w:t>C</w:t>
      </w:r>
    </w:p>
  </w:footnote>
  <w:footnote w:id="4">
    <w:p w:rsidR="009B727A" w:rsidRPr="009B727A" w:rsidRDefault="009B727A">
      <w:pPr>
        <w:pStyle w:val="FootnoteText"/>
        <w:rPr>
          <w:rFonts w:ascii="Arial Narrow" w:hAnsi="Arial Narrow"/>
        </w:rPr>
      </w:pPr>
      <w:r w:rsidRPr="009B727A">
        <w:rPr>
          <w:rStyle w:val="FootnoteReference"/>
          <w:rFonts w:ascii="Arial Narrow" w:hAnsi="Arial Narrow"/>
        </w:rPr>
        <w:footnoteRef/>
      </w:r>
      <w:r w:rsidRPr="009B727A">
        <w:rPr>
          <w:rFonts w:ascii="Arial Narrow" w:hAnsi="Arial Narrow"/>
        </w:rPr>
        <w:t xml:space="preserve"> </w:t>
      </w:r>
      <w:r>
        <w:rPr>
          <w:rFonts w:ascii="Arial Narrow" w:hAnsi="Arial Narrow"/>
        </w:rPr>
        <w:t xml:space="preserve">(supra) at 188 B - </w:t>
      </w:r>
      <w:r w:rsidRPr="009B727A">
        <w:rPr>
          <w:rFonts w:ascii="Arial Narrow" w:hAnsi="Arial Narrow"/>
        </w:rPr>
        <w: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4F6" w:rsidRPr="002444F6" w:rsidRDefault="002444F6">
    <w:pPr>
      <w:pStyle w:val="Header"/>
      <w:tabs>
        <w:tab w:val="clear" w:pos="4680"/>
        <w:tab w:val="clear" w:pos="9360"/>
      </w:tabs>
      <w:jc w:val="right"/>
      <w:rPr>
        <w:rFonts w:ascii="Arial Narrow" w:hAnsi="Arial Narrow"/>
        <w:szCs w:val="24"/>
      </w:rPr>
    </w:pPr>
    <w:r w:rsidRPr="002444F6">
      <w:rPr>
        <w:rFonts w:ascii="Arial Narrow" w:hAnsi="Arial Narrow"/>
        <w:szCs w:val="24"/>
      </w:rPr>
      <w:t xml:space="preserve">Page </w:t>
    </w:r>
    <w:r w:rsidRPr="002444F6">
      <w:rPr>
        <w:rFonts w:ascii="Arial Narrow" w:hAnsi="Arial Narrow"/>
        <w:szCs w:val="24"/>
      </w:rPr>
      <w:fldChar w:fldCharType="begin"/>
    </w:r>
    <w:r w:rsidRPr="002444F6">
      <w:rPr>
        <w:rFonts w:ascii="Arial Narrow" w:hAnsi="Arial Narrow"/>
        <w:szCs w:val="24"/>
      </w:rPr>
      <w:instrText xml:space="preserve"> PAGE   \* MERGEFORMAT </w:instrText>
    </w:r>
    <w:r w:rsidRPr="002444F6">
      <w:rPr>
        <w:rFonts w:ascii="Arial Narrow" w:hAnsi="Arial Narrow"/>
        <w:szCs w:val="24"/>
      </w:rPr>
      <w:fldChar w:fldCharType="separate"/>
    </w:r>
    <w:r w:rsidR="00B11BCE">
      <w:rPr>
        <w:rFonts w:ascii="Arial Narrow" w:hAnsi="Arial Narrow"/>
        <w:noProof/>
        <w:szCs w:val="24"/>
      </w:rPr>
      <w:t>12</w:t>
    </w:r>
    <w:r w:rsidRPr="002444F6">
      <w:rPr>
        <w:rFonts w:ascii="Arial Narrow" w:hAnsi="Arial Narrow"/>
        <w:szCs w:val="24"/>
      </w:rPr>
      <w:fldChar w:fldCharType="end"/>
    </w:r>
  </w:p>
  <w:p w:rsidR="002444F6" w:rsidRDefault="00244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B72EB"/>
    <w:multiLevelType w:val="multilevel"/>
    <w:tmpl w:val="1AAC7B98"/>
    <w:numStyleLink w:val="JudgmentStyle"/>
  </w:abstractNum>
  <w:abstractNum w:abstractNumId="1" w15:restartNumberingAfterBreak="0">
    <w:nsid w:val="31B473FF"/>
    <w:multiLevelType w:val="multilevel"/>
    <w:tmpl w:val="1AAC7B98"/>
    <w:styleLink w:val="JudgmentStyle"/>
    <w:lvl w:ilvl="0">
      <w:start w:val="1"/>
      <w:numFmt w:val="decimal"/>
      <w:lvlText w:val="[%1]"/>
      <w:lvlJc w:val="left"/>
      <w:pPr>
        <w:ind w:left="576" w:hanging="576"/>
      </w:pPr>
      <w:rPr>
        <w:rFonts w:ascii="Baskerville Old Face" w:hAnsi="Baskerville Old Face" w:hint="default"/>
        <w:b w:val="0"/>
        <w:i w:val="0"/>
        <w:color w:val="auto"/>
        <w:sz w:val="28"/>
      </w:rPr>
    </w:lvl>
    <w:lvl w:ilvl="1">
      <w:start w:val="1"/>
      <w:numFmt w:val="decimal"/>
      <w:isLgl/>
      <w:lvlText w:val="[%2]"/>
      <w:lvlJc w:val="left"/>
      <w:pPr>
        <w:ind w:left="1152" w:hanging="576"/>
      </w:pPr>
      <w:rPr>
        <w:rFonts w:hint="default"/>
      </w:rPr>
    </w:lvl>
    <w:lvl w:ilvl="2">
      <w:start w:val="1"/>
      <w:numFmt w:val="lowerRoman"/>
      <w:lvlText w:val="%3)"/>
      <w:lvlJc w:val="left"/>
      <w:pPr>
        <w:ind w:left="1728" w:hanging="576"/>
      </w:pPr>
      <w:rPr>
        <w:rFonts w:hint="default"/>
      </w:rPr>
    </w:lvl>
    <w:lvl w:ilvl="3">
      <w:start w:val="1"/>
      <w:numFmt w:val="decimal"/>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abstractNumId w:val="1"/>
  </w:num>
  <w:num w:numId="2">
    <w:abstractNumId w:val="0"/>
    <w:lvlOverride w:ilvl="0">
      <w:lvl w:ilvl="0">
        <w:start w:val="1"/>
        <w:numFmt w:val="decimal"/>
        <w:lvlText w:val="[%1]"/>
        <w:lvlJc w:val="left"/>
        <w:pPr>
          <w:ind w:left="576" w:hanging="576"/>
        </w:pPr>
        <w:rPr>
          <w:rFonts w:ascii="Arial Narrow" w:hAnsi="Arial Narrow" w:hint="default"/>
          <w:b w:val="0"/>
          <w:i w:val="0"/>
          <w:color w:val="auto"/>
          <w:sz w:val="28"/>
          <w:szCs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D7"/>
    <w:rsid w:val="002444F6"/>
    <w:rsid w:val="002D4AB9"/>
    <w:rsid w:val="002F065F"/>
    <w:rsid w:val="002F739A"/>
    <w:rsid w:val="00376102"/>
    <w:rsid w:val="003B07B8"/>
    <w:rsid w:val="004A70D7"/>
    <w:rsid w:val="004C094F"/>
    <w:rsid w:val="004D1D63"/>
    <w:rsid w:val="0054474D"/>
    <w:rsid w:val="00661134"/>
    <w:rsid w:val="00673A50"/>
    <w:rsid w:val="006A5F4A"/>
    <w:rsid w:val="006F1A11"/>
    <w:rsid w:val="007519C7"/>
    <w:rsid w:val="00765329"/>
    <w:rsid w:val="0079753D"/>
    <w:rsid w:val="00881BBE"/>
    <w:rsid w:val="009B727A"/>
    <w:rsid w:val="00B11BCE"/>
    <w:rsid w:val="00BD4E27"/>
    <w:rsid w:val="00C34D34"/>
    <w:rsid w:val="00DD49F9"/>
    <w:rsid w:val="00E8099F"/>
    <w:rsid w:val="00E874AE"/>
    <w:rsid w:val="00F720D4"/>
    <w:rsid w:val="00F9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B980DF-8BDD-41F4-AFF5-FA0BD3D4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Theme="minorHAnsi" w:hAnsi="Baskerville Old Fac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udgmentStyle">
    <w:name w:val="Judgment Style"/>
    <w:uiPriority w:val="99"/>
    <w:rsid w:val="00765329"/>
    <w:pPr>
      <w:numPr>
        <w:numId w:val="1"/>
      </w:numPr>
    </w:pPr>
  </w:style>
  <w:style w:type="paragraph" w:styleId="ListParagraph">
    <w:name w:val="List Paragraph"/>
    <w:basedOn w:val="Normal"/>
    <w:uiPriority w:val="34"/>
    <w:qFormat/>
    <w:rsid w:val="004A70D7"/>
    <w:pPr>
      <w:ind w:left="720"/>
      <w:contextualSpacing/>
    </w:pPr>
  </w:style>
  <w:style w:type="paragraph" w:styleId="FootnoteText">
    <w:name w:val="footnote text"/>
    <w:basedOn w:val="Normal"/>
    <w:link w:val="FootnoteTextChar"/>
    <w:uiPriority w:val="99"/>
    <w:semiHidden/>
    <w:unhideWhenUsed/>
    <w:rsid w:val="002F73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739A"/>
    <w:rPr>
      <w:sz w:val="20"/>
      <w:szCs w:val="20"/>
    </w:rPr>
  </w:style>
  <w:style w:type="character" w:styleId="FootnoteReference">
    <w:name w:val="footnote reference"/>
    <w:basedOn w:val="DefaultParagraphFont"/>
    <w:uiPriority w:val="99"/>
    <w:semiHidden/>
    <w:unhideWhenUsed/>
    <w:rsid w:val="002F739A"/>
    <w:rPr>
      <w:vertAlign w:val="superscript"/>
    </w:rPr>
  </w:style>
  <w:style w:type="paragraph" w:styleId="Header">
    <w:name w:val="header"/>
    <w:basedOn w:val="Normal"/>
    <w:link w:val="HeaderChar"/>
    <w:uiPriority w:val="99"/>
    <w:unhideWhenUsed/>
    <w:rsid w:val="00244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4F6"/>
  </w:style>
  <w:style w:type="paragraph" w:styleId="Footer">
    <w:name w:val="footer"/>
    <w:basedOn w:val="Normal"/>
    <w:link w:val="FooterChar"/>
    <w:uiPriority w:val="99"/>
    <w:unhideWhenUsed/>
    <w:rsid w:val="00244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28EEB-9513-4063-A42D-BB22659B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2923</Words>
  <Characters>16665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Judge-Glenn Goosen</dc:creator>
  <cp:keywords/>
  <dc:description/>
  <cp:lastModifiedBy>Rozetta Boock</cp:lastModifiedBy>
  <cp:revision>1</cp:revision>
  <dcterms:created xsi:type="dcterms:W3CDTF">2018-05-21T10:24:00Z</dcterms:created>
  <dcterms:modified xsi:type="dcterms:W3CDTF">2018-05-21T10:24:00Z</dcterms:modified>
</cp:coreProperties>
</file>