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36" w:rsidRDefault="0009205A">
      <w:pPr>
        <w:spacing w:after="37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3234" name="Group 3234"/>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20"/>
                                </w:rPr>
                                <w:t>2013</w:t>
                              </w:r>
                            </w:p>
                          </w:txbxContent>
                        </wps:txbx>
                        <wps:bodyPr horzOverflow="overflow" vert="horz" lIns="0" tIns="0" rIns="0" bIns="0" rtlCol="0">
                          <a:noAutofit/>
                        </wps:bodyPr>
                      </wps:wsp>
                      <wps:wsp>
                        <wps:cNvPr id="3817" name="Shape 3817"/>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767136" cy="19526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20"/>
                                </w:rPr>
                                <w:t xml:space="preserve">VOLUME </w:t>
                              </w:r>
                              <w:proofErr w:type="gramStart"/>
                              <w:r>
                                <w:rPr>
                                  <w:rFonts w:ascii="Arial" w:eastAsia="Arial" w:hAnsi="Arial" w:cs="Arial"/>
                                  <w:sz w:val="20"/>
                                </w:rPr>
                                <w:t>39  JUNE</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A54036" w:rsidRDefault="0009205A">
                              <w:pPr>
                                <w:spacing w:after="160" w:line="259" w:lineRule="auto"/>
                                <w:ind w:left="0" w:firstLine="0"/>
                                <w:jc w:val="left"/>
                              </w:pPr>
                              <w:r>
                                <w:rPr>
                                  <w:rFonts w:ascii="Arial" w:eastAsia="Arial" w:hAnsi="Arial" w:cs="Arial"/>
                                  <w:sz w:val="20"/>
                                </w:rPr>
                                <w:t>2018</w:t>
                              </w:r>
                            </w:p>
                          </w:txbxContent>
                        </wps:txbx>
                        <wps:bodyPr horzOverflow="overflow" vert="horz" lIns="0" tIns="0" rIns="0" bIns="0" rtlCol="0">
                          <a:noAutofit/>
                        </wps:bodyPr>
                      </wps:wsp>
                      <wps:wsp>
                        <wps:cNvPr id="59" name="Shape 59"/>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2" name="Shape 6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4" style="width:449.031pt;height:278.618pt;mso-position-horizontal-relative:char;mso-position-vertical-relative:line" coordsize="57026,35384">
                <v:shape id="Picture 6" style="position:absolute;width:2590;height:3886;left:6351;top:11539;" filled="f">
                  <v:imagedata r:id="rId13"/>
                </v:shape>
                <v:rect id="Rectangle 7" style="position:absolute;width:42159;height:5857;left:5400;top:15895;" filled="f" stroked="f">
                  <v:textbox inset="0,0,0,0">
                    <w:txbxContent>
                      <w:p>
                        <w:pPr>
                          <w:spacing w:before="0" w:after="160" w:line="259" w:lineRule="auto"/>
                          <w:ind w:left="0" w:firstLine="0"/>
                          <w:jc w:val="left"/>
                        </w:pPr>
                        <w:r>
                          <w:rPr>
                            <w:rFonts w:cs="Arial" w:hAnsi="Arial" w:eastAsia="Arial" w:ascii="Arial"/>
                            <w:sz w:val="60"/>
                          </w:rPr>
                          <w:t xml:space="preserve">INDUSTRIAL LAW</w:t>
                        </w:r>
                      </w:p>
                    </w:txbxContent>
                  </v:textbox>
                </v:rect>
                <v:rect id="Rectangle 8" style="position:absolute;width:23649;height:5857;left:5400;top:20212;" filled="f" stroked="f">
                  <v:textbox inset="0,0,0,0">
                    <w:txbxContent>
                      <w:p>
                        <w:pPr>
                          <w:spacing w:before="0" w:after="160" w:line="259" w:lineRule="auto"/>
                          <w:ind w:left="0" w:firstLine="0"/>
                          <w:jc w:val="left"/>
                        </w:pPr>
                        <w:r>
                          <w:rPr>
                            <w:rFonts w:cs="Arial" w:hAnsi="Arial" w:eastAsia="Arial" w:ascii="Arial"/>
                            <w:sz w:val="60"/>
                          </w:rPr>
                          <w:t xml:space="preserve">JOURNAL</w:t>
                        </w:r>
                      </w:p>
                    </w:txbxContent>
                  </v:textbox>
                </v:rect>
                <v:rect id="Rectangle 9" style="position:absolute;width:11572;height:1952;left:5400;top:25796;" filled="f" stroked="f">
                  <v:textbox inset="0,0,0,0">
                    <w:txbxContent>
                      <w:p>
                        <w:pPr>
                          <w:spacing w:before="0" w:after="160" w:line="259" w:lineRule="auto"/>
                          <w:ind w:left="0" w:firstLine="0"/>
                          <w:jc w:val="left"/>
                        </w:pPr>
                        <w:r>
                          <w:rPr>
                            <w:rFonts w:cs="Arial" w:hAnsi="Arial" w:eastAsia="Arial" w:ascii="Arial"/>
                            <w:sz w:val="20"/>
                          </w:rPr>
                          <w:t xml:space="preserve">VOLUME 34  </w:t>
                        </w:r>
                      </w:p>
                    </w:txbxContent>
                  </v:textbox>
                </v:rect>
                <v:rect id="Rectangle 10" style="position:absolute;width:9224;height:1952;left:15017;top:25796;" filled="f" stroked="f">
                  <v:textbox inset="0,0,0,0">
                    <w:txbxContent>
                      <w:p>
                        <w:pPr>
                          <w:spacing w:before="0" w:after="160" w:line="259" w:lineRule="auto"/>
                          <w:ind w:left="0" w:firstLine="0"/>
                          <w:jc w:val="left"/>
                        </w:pPr>
                        <w:r>
                          <w:rPr>
                            <w:rFonts w:cs="Arial" w:hAnsi="Arial" w:eastAsia="Arial" w:ascii="Arial"/>
                            <w:sz w:val="20"/>
                          </w:rPr>
                          <w:t xml:space="preserve"> OCTOBER </w:t>
                        </w:r>
                      </w:p>
                    </w:txbxContent>
                  </v:textbox>
                </v:rect>
                <v:rect id="Rectangle 11" style="position:absolute;width:3562;height:1952;left:43402;top:25796;" filled="f" stroked="f">
                  <v:textbox inset="0,0,0,0">
                    <w:txbxContent>
                      <w:p>
                        <w:pPr>
                          <w:spacing w:before="0" w:after="160" w:line="259" w:lineRule="auto"/>
                          <w:ind w:left="0" w:firstLine="0"/>
                          <w:jc w:val="left"/>
                        </w:pPr>
                        <w:r>
                          <w:rPr>
                            <w:rFonts w:cs="Arial" w:hAnsi="Arial" w:eastAsia="Arial" w:ascii="Arial"/>
                            <w:sz w:val="20"/>
                          </w:rPr>
                          <w:t xml:space="preserve">2013</w:t>
                        </w:r>
                      </w:p>
                    </w:txbxContent>
                  </v:textbox>
                </v:rect>
                <v:shape id="Shape 3818" style="position:absolute;width:55413;height:33720;left:0;top:1586;" coordsize="5541391,3372002" path="m0,0l5541391,0l5541391,3372002l0,3372002l0,0">
                  <v:stroke weight="0pt" endcap="flat" joinstyle="miter" miterlimit="10" on="false" color="#000000" opacity="0"/>
                  <v:fill on="true" color="#d3d2d2"/>
                </v:shape>
                <v:shape id="Shape 14" style="position:absolute;width:55439;height:0;left:0;top:35384;" coordsize="5543995,0" path="m0,0l5543995,0">
                  <v:stroke weight="5pt" endcap="flat" joinstyle="miter" miterlimit="4" on="true" color="#181717"/>
                  <v:fill on="false" color="#000000" opacity="0"/>
                </v:shape>
                <v:rect id="Rectangle 15" style="position:absolute;width:35383;height:5076;left:12896;top:18523;" filled="f" stroked="f">
                  <v:textbox inset="0,0,0,0">
                    <w:txbxContent>
                      <w:p>
                        <w:pPr>
                          <w:spacing w:before="0" w:after="160" w:line="259" w:lineRule="auto"/>
                          <w:ind w:left="0" w:firstLine="0"/>
                          <w:jc w:val="left"/>
                        </w:pPr>
                        <w:r>
                          <w:rPr>
                            <w:rFonts w:cs="Arial" w:hAnsi="Arial" w:eastAsia="Arial" w:ascii="Arial"/>
                            <w:sz w:val="52"/>
                          </w:rPr>
                          <w:t xml:space="preserve">HIGHLIGHTS OF </w:t>
                        </w:r>
                      </w:p>
                    </w:txbxContent>
                  </v:textbox>
                </v:rect>
                <v:rect id="Rectangle 16" style="position:absolute;width:47763;height:5076;left:8244;top:22486;" filled="f" stroked="f">
                  <v:textbox inset="0,0,0,0">
                    <w:txbxContent>
                      <w:p>
                        <w:pPr>
                          <w:spacing w:before="0" w:after="160" w:line="259" w:lineRule="auto"/>
                          <w:ind w:left="0" w:firstLine="0"/>
                          <w:jc w:val="left"/>
                        </w:pPr>
                        <w:r>
                          <w:rPr>
                            <w:rFonts w:cs="Arial" w:hAnsi="Arial" w:eastAsia="Arial" w:ascii="Arial"/>
                            <w:sz w:val="52"/>
                          </w:rPr>
                          <w:t xml:space="preserve">THE INDUSTRIAL LAW </w:t>
                        </w:r>
                      </w:p>
                    </w:txbxContent>
                  </v:textbox>
                </v:rect>
                <v:rect id="Rectangle 17" style="position:absolute;width:21097;height:5076;left:17810;top:26448;" filled="f" stroked="f">
                  <v:textbox inset="0,0,0,0">
                    <w:txbxContent>
                      <w:p>
                        <w:pPr>
                          <w:spacing w:before="0" w:after="160" w:line="259" w:lineRule="auto"/>
                          <w:ind w:left="0" w:firstLine="0"/>
                          <w:jc w:val="left"/>
                        </w:pPr>
                        <w:r>
                          <w:rPr>
                            <w:rFonts w:cs="Arial" w:hAnsi="Arial" w:eastAsia="Arial" w:ascii="Arial"/>
                            <w:sz w:val="52"/>
                          </w:rPr>
                          <w:t xml:space="preserve">REPORTS</w:t>
                        </w:r>
                      </w:p>
                    </w:txbxContent>
                  </v:textbox>
                </v:rect>
                <v:rect id="Rectangle 18" style="position:absolute;width:17671;height:1952;left:5760;top:13196;" filled="f" stroked="f">
                  <v:textbox inset="0,0,0,0">
                    <w:txbxContent>
                      <w:p>
                        <w:pPr>
                          <w:spacing w:before="0" w:after="160" w:line="259" w:lineRule="auto"/>
                          <w:ind w:left="0" w:firstLine="0"/>
                          <w:jc w:val="left"/>
                        </w:pPr>
                        <w:r>
                          <w:rPr>
                            <w:rFonts w:cs="Arial" w:hAnsi="Arial" w:eastAsia="Arial" w:ascii="Arial"/>
                            <w:sz w:val="20"/>
                          </w:rPr>
                          <w:t xml:space="preserve">VOLUME 39  JUNE </w:t>
                        </w:r>
                      </w:p>
                    </w:txbxContent>
                  </v:textbox>
                </v:rect>
                <v:rect id="Rectangle 19" style="position:absolute;width:3562;height:1952;left:43042;top:13196;" filled="f" stroked="f">
                  <v:textbox inset="0,0,0,0">
                    <w:txbxContent>
                      <w:p>
                        <w:pPr>
                          <w:spacing w:before="0" w:after="160" w:line="259" w:lineRule="auto"/>
                          <w:ind w:left="0" w:firstLine="0"/>
                          <w:jc w:val="left"/>
                        </w:pPr>
                        <w:r>
                          <w:rPr>
                            <w:rFonts w:cs="Arial" w:hAnsi="Arial" w:eastAsia="Arial" w:ascii="Arial"/>
                            <w:sz w:val="20"/>
                          </w:rPr>
                          <w:t xml:space="preserve">2018</w:t>
                        </w:r>
                      </w:p>
                    </w:txbxContent>
                  </v:textbox>
                </v:rect>
                <v:shape id="Shape 59" style="position:absolute;width:0;height:1905;left:54359;top:0;" coordsize="0,190500" path="m0,190500l0,0">
                  <v:stroke weight="1.25pt" endcap="flat" joinstyle="miter" miterlimit="10" on="true" color="#ffffff"/>
                  <v:fill on="false" color="#000000" opacity="0"/>
                </v:shape>
                <v:shape id="Shape 62" style="position:absolute;width:1905;height:0;left:55121;top:2667;" coordsize="190500,0" path="m0,0l190500,0">
                  <v:stroke weight="0.25pt" endcap="flat" joinstyle="miter" miterlimit="10" on="true" color="#000000"/>
                  <v:fill on="false" color="#000000" opacity="0"/>
                </v:shape>
              </v:group>
            </w:pict>
          </mc:Fallback>
        </mc:AlternateContent>
      </w:r>
    </w:p>
    <w:p w:rsidR="00A54036" w:rsidRDefault="0009205A" w:rsidP="00B71EB5">
      <w:pPr>
        <w:spacing w:after="5" w:line="253" w:lineRule="auto"/>
        <w:ind w:left="-567" w:right="-341" w:firstLine="0"/>
        <w:jc w:val="left"/>
        <w:rPr>
          <w:rFonts w:ascii="Arial" w:eastAsia="Arial" w:hAnsi="Arial" w:cs="Arial"/>
          <w:sz w:val="22"/>
        </w:rPr>
      </w:pPr>
      <w:r>
        <w:rPr>
          <w:rFonts w:ascii="Arial" w:eastAsia="Arial" w:hAnsi="Arial" w:cs="Arial"/>
          <w:sz w:val="22"/>
        </w:rPr>
        <w:t xml:space="preserve">Prescription Act 68 of 1969 and Labour Relations Act 66 of </w:t>
      </w:r>
      <w:r>
        <w:rPr>
          <w:rFonts w:ascii="Arial" w:eastAsia="Arial" w:hAnsi="Arial" w:cs="Arial"/>
          <w:sz w:val="22"/>
        </w:rPr>
        <w:t>1995</w:t>
      </w:r>
    </w:p>
    <w:p w:rsidR="00B71EB5" w:rsidRDefault="00B71EB5" w:rsidP="00B71EB5">
      <w:pPr>
        <w:spacing w:after="5" w:line="253" w:lineRule="auto"/>
        <w:ind w:left="-567" w:right="-341" w:firstLine="0"/>
        <w:jc w:val="left"/>
      </w:pPr>
    </w:p>
    <w:p w:rsidR="00A54036" w:rsidRDefault="0009205A" w:rsidP="00B71EB5">
      <w:pPr>
        <w:spacing w:after="10"/>
        <w:ind w:left="-567" w:right="-341" w:firstLine="0"/>
      </w:pPr>
      <w:r>
        <w:t>The Prescription Act 68 of 1969 and the Labour Relations Act 66 of</w:t>
      </w:r>
      <w:r w:rsidR="00B71EB5">
        <w:t xml:space="preserve"> </w:t>
      </w:r>
      <w:r>
        <w:t xml:space="preserve">1995 are not incompatible and both Acts can exist in harmony. The </w:t>
      </w:r>
      <w:r>
        <w:t xml:space="preserve">Constitutional Court in a judgment by </w:t>
      </w:r>
      <w:proofErr w:type="spellStart"/>
      <w:r>
        <w:t>Kollapen</w:t>
      </w:r>
      <w:proofErr w:type="spellEnd"/>
      <w:r>
        <w:t xml:space="preserve"> AJ (Cameron J, </w:t>
      </w:r>
      <w:proofErr w:type="spellStart"/>
      <w:r>
        <w:t>Froneman</w:t>
      </w:r>
      <w:proofErr w:type="spellEnd"/>
      <w:r>
        <w:t xml:space="preserve"> J, </w:t>
      </w:r>
      <w:proofErr w:type="spellStart"/>
      <w:r>
        <w:t>Kathree-Setiloane</w:t>
      </w:r>
      <w:proofErr w:type="spellEnd"/>
      <w:r>
        <w:t xml:space="preserve"> AJ, </w:t>
      </w:r>
      <w:proofErr w:type="spellStart"/>
      <w:r>
        <w:t>Madlanga</w:t>
      </w:r>
      <w:proofErr w:type="spellEnd"/>
      <w:r>
        <w:t xml:space="preserve"> J, </w:t>
      </w:r>
      <w:proofErr w:type="spellStart"/>
      <w:r>
        <w:t>Mhlantla</w:t>
      </w:r>
      <w:proofErr w:type="spellEnd"/>
      <w:r>
        <w:t xml:space="preserve"> J and</w:t>
      </w:r>
      <w:r>
        <w:t xml:space="preserve"> Theron J concurring) found, inter alia, that an unfair dismissal claim constitutes a ‘debt’ for the purposes of s 16(1) of the Prescription Act; that the time periods in the Prescription Act are not inconsistent with those in s 191 of the LRA; and that th</w:t>
      </w:r>
      <w:r>
        <w:t xml:space="preserve">e referral of a dispute to the CCMA for conciliation constitutes service of a process commencing legal proceedings and interrupts the running of prescription. In a separate judgment </w:t>
      </w:r>
      <w:proofErr w:type="spellStart"/>
      <w:r>
        <w:t>Zondi</w:t>
      </w:r>
      <w:proofErr w:type="spellEnd"/>
      <w:r>
        <w:t xml:space="preserve"> AJ (</w:t>
      </w:r>
      <w:proofErr w:type="spellStart"/>
      <w:r>
        <w:t>Mogoeng</w:t>
      </w:r>
      <w:proofErr w:type="spellEnd"/>
      <w:r>
        <w:t xml:space="preserve"> CJ, </w:t>
      </w:r>
      <w:proofErr w:type="spellStart"/>
      <w:r>
        <w:t>Zondo</w:t>
      </w:r>
      <w:proofErr w:type="spellEnd"/>
      <w:r>
        <w:t xml:space="preserve"> DCJ and Jafta J concurring), found that the pr</w:t>
      </w:r>
      <w:r>
        <w:t xml:space="preserve">ovisions of s 16(1) of the Prescription Act are inconsistent with s 191 of the LRA and concluded that the Prescription Act does not apply to litigation under s 191 of the LRA. In a separate concurring judgment, </w:t>
      </w:r>
      <w:proofErr w:type="spellStart"/>
      <w:r>
        <w:t>Zondo</w:t>
      </w:r>
      <w:proofErr w:type="spellEnd"/>
      <w:r>
        <w:t xml:space="preserve"> DJP (</w:t>
      </w:r>
      <w:proofErr w:type="spellStart"/>
      <w:r>
        <w:t>Mogoeng</w:t>
      </w:r>
      <w:proofErr w:type="spellEnd"/>
      <w:r>
        <w:t xml:space="preserve"> CJ, Jafta J and </w:t>
      </w:r>
      <w:proofErr w:type="spellStart"/>
      <w:r>
        <w:t>Zondi</w:t>
      </w:r>
      <w:proofErr w:type="spellEnd"/>
      <w:r>
        <w:t xml:space="preserve"> AJ c</w:t>
      </w:r>
      <w:r>
        <w:t>oncurring), found that the Prescription Act does not apply to unfair dismissal disputes under the LRA as such disputes are only subject to the periods provided for in the dispute-resolution system of the LRA, which is a self-standing system carefully craft</w:t>
      </w:r>
      <w:r>
        <w:t>ed to strike a fair balance between the interests of workers and those of employers (</w:t>
      </w:r>
      <w:r>
        <w:rPr>
          <w:i/>
        </w:rPr>
        <w:t xml:space="preserve">Food &amp; Allied Workers Union on behalf of </w:t>
      </w:r>
      <w:proofErr w:type="spellStart"/>
      <w:r>
        <w:rPr>
          <w:i/>
        </w:rPr>
        <w:t>Gaoshubelwe</w:t>
      </w:r>
      <w:proofErr w:type="spellEnd"/>
      <w:r>
        <w:rPr>
          <w:i/>
        </w:rPr>
        <w:t xml:space="preserve"> v </w:t>
      </w:r>
      <w:proofErr w:type="spellStart"/>
      <w:r>
        <w:rPr>
          <w:i/>
        </w:rPr>
        <w:t>Pieman’s</w:t>
      </w:r>
      <w:proofErr w:type="spellEnd"/>
      <w:r>
        <w:rPr>
          <w:i/>
        </w:rPr>
        <w:t xml:space="preserve"> Pantry (Pty) Ltd </w:t>
      </w:r>
      <w:r>
        <w:t xml:space="preserve">at 1213). </w:t>
      </w:r>
    </w:p>
    <w:p w:rsidR="00B71EB5" w:rsidRDefault="00B71EB5" w:rsidP="00B71EB5">
      <w:pPr>
        <w:spacing w:after="10"/>
        <w:ind w:left="-567" w:firstLine="0"/>
      </w:pPr>
    </w:p>
    <w:p w:rsidR="00A54036" w:rsidRDefault="0009205A" w:rsidP="00B71EB5">
      <w:pPr>
        <w:spacing w:after="89" w:line="253" w:lineRule="auto"/>
        <w:ind w:left="-567" w:right="-341" w:firstLine="0"/>
        <w:jc w:val="left"/>
      </w:pPr>
      <w:r>
        <w:rPr>
          <w:rFonts w:ascii="Arial" w:eastAsia="Arial" w:hAnsi="Arial" w:cs="Arial"/>
          <w:sz w:val="22"/>
        </w:rPr>
        <w:t>Protected Disclosures Act 26 of 2000</w:t>
      </w:r>
    </w:p>
    <w:p w:rsidR="00A54036" w:rsidRDefault="0009205A" w:rsidP="00B71EB5">
      <w:pPr>
        <w:ind w:left="-567" w:right="-341" w:firstLine="0"/>
      </w:pPr>
      <w:r>
        <w:t xml:space="preserve">In </w:t>
      </w:r>
      <w:r>
        <w:rPr>
          <w:i/>
        </w:rPr>
        <w:t xml:space="preserve">John v Afrox Oxygen Ltd </w:t>
      </w:r>
      <w:r>
        <w:t>(at 1278) the L</w:t>
      </w:r>
      <w:r>
        <w:t>abour Appeal Court confirmed that, where an employee had made a disclosure of perceived impropriety only to her employer, s 6 of the Protected Disclosures Act 26 of 2000 was relevant. For the disclosure to qualify for protection the employee only had reaso</w:t>
      </w:r>
      <w:r>
        <w:t xml:space="preserve">nably to believe that the conduct was unlawful, she did not have to prove the correctness of the facts upon which her belief was based. </w:t>
      </w:r>
    </w:p>
    <w:p w:rsidR="00B71EB5" w:rsidRDefault="00B71EB5" w:rsidP="00B71EB5">
      <w:pPr>
        <w:spacing w:after="89" w:line="253" w:lineRule="auto"/>
        <w:ind w:left="-567" w:right="-341"/>
        <w:jc w:val="left"/>
        <w:rPr>
          <w:rFonts w:ascii="Arial" w:eastAsia="Arial" w:hAnsi="Arial" w:cs="Arial"/>
          <w:sz w:val="22"/>
        </w:rPr>
      </w:pPr>
    </w:p>
    <w:p w:rsidR="00A54036" w:rsidRDefault="0009205A" w:rsidP="00B71EB5">
      <w:pPr>
        <w:spacing w:after="89" w:line="253" w:lineRule="auto"/>
        <w:ind w:left="-567" w:right="-341"/>
        <w:jc w:val="left"/>
      </w:pPr>
      <w:r>
        <w:rPr>
          <w:rFonts w:ascii="Arial" w:eastAsia="Arial" w:hAnsi="Arial" w:cs="Arial"/>
          <w:sz w:val="22"/>
        </w:rPr>
        <w:t>Sexual Harassment</w:t>
      </w:r>
    </w:p>
    <w:p w:rsidR="00A54036" w:rsidRDefault="0009205A" w:rsidP="00B71EB5">
      <w:pPr>
        <w:spacing w:after="1"/>
        <w:ind w:left="-567" w:right="-341"/>
      </w:pPr>
      <w:r>
        <w:t>The Labour Court found that a senior employee’s frequent sexual advances to a subordinate over a peri</w:t>
      </w:r>
      <w:r>
        <w:t>od of seven years clearly constituted unwelcome and inappropriate conduct of a sexual nature. The court was extremely critical of the CCMA commissioner’s misogynistic and patriarchal approach to the matter; his failure to consider both the Codes of Good Pr</w:t>
      </w:r>
      <w:r>
        <w:t>actice on the Handling of Sexual Harassment Cases in the Workplace 1998 and 2005; his finding that the victim’s silence in the face of persistent inappropriate conduct indicated that she was ‘docile’ or ‘inviting’; and his finding that the lapse of time be</w:t>
      </w:r>
      <w:r>
        <w:t>fore the victim reported the inappropriate conduct reflected on her credibility. The court reviewed and set aside the arbitration award and upheld the dismissal of the employee (</w:t>
      </w:r>
      <w:r>
        <w:rPr>
          <w:i/>
        </w:rPr>
        <w:t>Rustenburg Platinum Mines Ltd v United Association of SA on behalf of Pieterse</w:t>
      </w:r>
      <w:r>
        <w:rPr>
          <w:i/>
        </w:rPr>
        <w:t xml:space="preserve">n &amp; others </w:t>
      </w:r>
      <w:r>
        <w:t xml:space="preserve">at 1330). </w:t>
      </w:r>
    </w:p>
    <w:p w:rsidR="00B71EB5" w:rsidRDefault="00B71EB5" w:rsidP="00B71EB5">
      <w:pPr>
        <w:spacing w:after="1"/>
        <w:ind w:left="-567" w:right="-341"/>
      </w:pPr>
    </w:p>
    <w:p w:rsidR="00A54036" w:rsidRDefault="0009205A" w:rsidP="00B71EB5">
      <w:pPr>
        <w:spacing w:after="1"/>
        <w:ind w:left="-567" w:right="-341"/>
      </w:pPr>
      <w:r>
        <w:t>In a matter before the CCMA, where a senior employee had touched the breasts of a young subordinate, the commissioner found that his conduct clearly constituted sexual harassment. The commissioner rejected the employee’s contention t</w:t>
      </w:r>
      <w:r>
        <w:t>hat the complainant’s flirtatious behaviour led him to believe that his conduct was acceptable — being flirtatious was not an invitation to sexual harassment. The commissioner upheld the employee’s dismissal (</w:t>
      </w:r>
      <w:r>
        <w:rPr>
          <w:i/>
        </w:rPr>
        <w:t xml:space="preserve">Jordaan and Capitec Bank Ltd </w:t>
      </w:r>
      <w:r>
        <w:t xml:space="preserve">at 1364). </w:t>
      </w:r>
    </w:p>
    <w:p w:rsidR="00B71EB5" w:rsidRDefault="00B71EB5" w:rsidP="00B71EB5">
      <w:pPr>
        <w:spacing w:after="1"/>
        <w:ind w:left="-567" w:right="-341"/>
      </w:pPr>
    </w:p>
    <w:p w:rsidR="00A54036" w:rsidRDefault="0009205A" w:rsidP="00B71EB5">
      <w:pPr>
        <w:spacing w:after="1"/>
        <w:ind w:left="-567" w:right="-341"/>
      </w:pPr>
      <w:r>
        <w:t xml:space="preserve">In </w:t>
      </w:r>
      <w:r>
        <w:rPr>
          <w:i/>
        </w:rPr>
        <w:t>Nat</w:t>
      </w:r>
      <w:r>
        <w:rPr>
          <w:i/>
        </w:rPr>
        <w:t xml:space="preserve">ional Union of Public Service &amp; Allied Workers on behalf of </w:t>
      </w:r>
      <w:proofErr w:type="spellStart"/>
      <w:r>
        <w:rPr>
          <w:i/>
        </w:rPr>
        <w:t>Qatshama</w:t>
      </w:r>
      <w:proofErr w:type="spellEnd"/>
      <w:r>
        <w:rPr>
          <w:i/>
        </w:rPr>
        <w:t xml:space="preserve"> and Lion Roars Safaris &amp; Lodges </w:t>
      </w:r>
      <w:r>
        <w:t>(at 1383) the applicant complainant alleging that she had been sexually harassed by her manager, referred an unfair discrimination dispute to the CCMA in t</w:t>
      </w:r>
      <w:r>
        <w:t>erms of the Employment Equity Act 55 of 1998. At arbitration, the CCMA commissioner was faced with the version of a single witness, the complainant, which was contradicted by several witnesses for the employer. He set out the correct approach to be adopted</w:t>
      </w:r>
      <w:r>
        <w:t xml:space="preserve"> when weighing up the probabilities of the respective versions and making credibility findings to arrive at an outcome. He accepted that the employer’s version was more probable and found, accordingly, that the complainant had failed to establish sexual ha</w:t>
      </w:r>
      <w:r>
        <w:t xml:space="preserve">rassment. Similarly, in </w:t>
      </w:r>
      <w:proofErr w:type="spellStart"/>
      <w:r>
        <w:rPr>
          <w:i/>
        </w:rPr>
        <w:t>Shayi</w:t>
      </w:r>
      <w:proofErr w:type="spellEnd"/>
      <w:r>
        <w:rPr>
          <w:i/>
        </w:rPr>
        <w:t xml:space="preserve"> and Eskom Holdings (Pty) Ltd </w:t>
      </w:r>
      <w:r>
        <w:t>(at 1395), where the applicant employee had been dismissed for sexual harassment of a female colleague, the CCMA commissioner found that the complainant’s version was inconsistent to the extent tha</w:t>
      </w:r>
      <w:r>
        <w:t>t it impacted on her credibility and that the employee’s version was more probable. Sexual harassment by the employee had not been proved, and his dismissal was unfair.</w:t>
      </w:r>
    </w:p>
    <w:p w:rsidR="00B71EB5" w:rsidRDefault="00B71EB5" w:rsidP="00B71EB5">
      <w:pPr>
        <w:spacing w:after="1"/>
        <w:ind w:left="-567" w:right="-341"/>
      </w:pPr>
    </w:p>
    <w:p w:rsidR="00A54036" w:rsidRDefault="0009205A" w:rsidP="00B71EB5">
      <w:pPr>
        <w:spacing w:after="247" w:line="249" w:lineRule="auto"/>
        <w:ind w:left="-567" w:right="-341" w:firstLine="0"/>
      </w:pPr>
      <w:r>
        <w:t>In all the above matters the court and commissioners confirmed the relevance and dealt</w:t>
      </w:r>
      <w:r w:rsidR="00B71EB5">
        <w:t xml:space="preserve"> </w:t>
      </w:r>
      <w:r>
        <w:t>with several provisions of both the Codes of Good Practice on the Handling of Sexual Harassment Cases in the Workplace 1998 and 2005.</w:t>
      </w: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B71EB5" w:rsidRDefault="00B71EB5" w:rsidP="00B71EB5">
      <w:pPr>
        <w:spacing w:after="247" w:line="249" w:lineRule="auto"/>
        <w:ind w:left="-567" w:right="-341" w:firstLine="0"/>
        <w:jc w:val="left"/>
      </w:pPr>
    </w:p>
    <w:p w:rsidR="00A54036" w:rsidRDefault="0009205A" w:rsidP="00B71EB5">
      <w:pPr>
        <w:spacing w:after="89" w:line="253" w:lineRule="auto"/>
        <w:ind w:left="-567" w:firstLine="0"/>
        <w:jc w:val="left"/>
      </w:pPr>
      <w:r>
        <w:rPr>
          <w:rFonts w:ascii="Arial" w:eastAsia="Arial" w:hAnsi="Arial" w:cs="Arial"/>
          <w:sz w:val="22"/>
        </w:rPr>
        <w:t>Demarcation Award</w:t>
      </w:r>
    </w:p>
    <w:p w:rsidR="00A54036" w:rsidRDefault="0009205A" w:rsidP="00B71EB5">
      <w:pPr>
        <w:ind w:left="-567" w:right="-341" w:firstLine="0"/>
      </w:pPr>
      <w:r>
        <w:t>The scope of registration of the National Bargaining Council for the Road Freight &amp; Logistics Industry is defined in its certificate of registration as ‘the transportation of goods for hire or reward by means of motor transport’. In a demarcation award a C</w:t>
      </w:r>
      <w:r>
        <w:t>CMA commissioner ruled that the term ‘goods’ included money or cash, and that consequently the appellant company’s cash-in-transit division fell within the council’s scope of registration. This award was upheld on review by the Labour Court. On appeal, the</w:t>
      </w:r>
      <w:r>
        <w:t xml:space="preserve"> Labour Appeal Court confirmed that the word ‘goods’ in the council’s certificate of registration included cash; and dismissed the appeal (</w:t>
      </w:r>
      <w:r>
        <w:rPr>
          <w:i/>
        </w:rPr>
        <w:t>SBV Services (Pty) Ltd v National Bargaining Council for the Road Freight &amp; Logistics Industry &amp; others</w:t>
      </w:r>
      <w:r>
        <w:t xml:space="preserve"> at 1290).</w:t>
      </w:r>
    </w:p>
    <w:p w:rsidR="00A54036" w:rsidRDefault="0009205A" w:rsidP="00B71EB5">
      <w:pPr>
        <w:spacing w:after="89" w:line="253" w:lineRule="auto"/>
        <w:ind w:left="-567" w:firstLine="0"/>
        <w:jc w:val="left"/>
      </w:pPr>
      <w:r>
        <w:rPr>
          <w:rFonts w:ascii="Arial" w:eastAsia="Arial" w:hAnsi="Arial" w:cs="Arial"/>
          <w:sz w:val="22"/>
        </w:rPr>
        <w:t>Con</w:t>
      </w:r>
      <w:r>
        <w:rPr>
          <w:rFonts w:ascii="Arial" w:eastAsia="Arial" w:hAnsi="Arial" w:cs="Arial"/>
          <w:sz w:val="22"/>
        </w:rPr>
        <w:t xml:space="preserve">tract of Employment — Fixed-term Contract — Reasonable </w:t>
      </w:r>
      <w:r w:rsidR="00B71EB5">
        <w:rPr>
          <w:rFonts w:ascii="Arial" w:eastAsia="Arial" w:hAnsi="Arial" w:cs="Arial"/>
          <w:sz w:val="22"/>
        </w:rPr>
        <w:t>E</w:t>
      </w:r>
      <w:r>
        <w:rPr>
          <w:rFonts w:ascii="Arial" w:eastAsia="Arial" w:hAnsi="Arial" w:cs="Arial"/>
          <w:sz w:val="22"/>
        </w:rPr>
        <w:t>xpectation of Renewal</w:t>
      </w:r>
    </w:p>
    <w:p w:rsidR="00A54036" w:rsidRDefault="0009205A" w:rsidP="00B71EB5">
      <w:pPr>
        <w:ind w:left="-567" w:right="-341" w:firstLine="0"/>
      </w:pPr>
      <w:r>
        <w:t xml:space="preserve">In both </w:t>
      </w:r>
      <w:r>
        <w:rPr>
          <w:i/>
        </w:rPr>
        <w:t xml:space="preserve">Agricultural Research Council v Commission for Conciliation, Mediation &amp; Arbitration &amp; others </w:t>
      </w:r>
      <w:r>
        <w:t xml:space="preserve">(at 1297) and </w:t>
      </w:r>
      <w:r>
        <w:rPr>
          <w:i/>
        </w:rPr>
        <w:t>SA Post Office SOC Ltd v Commission for Conciliation, Mediatio</w:t>
      </w:r>
      <w:r>
        <w:rPr>
          <w:i/>
        </w:rPr>
        <w:t xml:space="preserve">n &amp; Arbitration &amp; others </w:t>
      </w:r>
      <w:r>
        <w:t>(at 1350) the Labour Court confirmed that the test for review of a commissioner’s finding that an employee was dismissed in terms of s 186(1)</w:t>
      </w:r>
      <w:r>
        <w:rPr>
          <w:i/>
        </w:rPr>
        <w:t xml:space="preserve">(b) </w:t>
      </w:r>
      <w:r>
        <w:t>of the LRA 1995 is whether the decision that the employee was dismissed was correct an</w:t>
      </w:r>
      <w:r>
        <w:t xml:space="preserve">d not whether the decision was reasonable. In both matters the applicant employer had based its review application firmly on the incorrect reasonableness test — this was fatal to both cases, which were dismissed on this ground alone.  In </w:t>
      </w:r>
      <w:r>
        <w:rPr>
          <w:i/>
        </w:rPr>
        <w:t xml:space="preserve">Smith &amp; another v </w:t>
      </w:r>
      <w:r>
        <w:rPr>
          <w:i/>
        </w:rPr>
        <w:t xml:space="preserve">Office of the Chief Justice &amp; others </w:t>
      </w:r>
      <w:r>
        <w:t>(at 1357) the applicant employees, who had failed to secure employment contracts following an interview process for advertised positions, sought an order declaring them to be fixed-term employees, relying on the ‘protec</w:t>
      </w:r>
      <w:r>
        <w:t>tion’ of s 186(1)</w:t>
      </w:r>
      <w:r>
        <w:rPr>
          <w:i/>
        </w:rPr>
        <w:t xml:space="preserve">(b) </w:t>
      </w:r>
      <w:r>
        <w:t>of the LRA. The court found that s 186 does not confer any rights or protections on employees, it merely defines ‘dismissal’. The application of s 186(1)</w:t>
      </w:r>
      <w:r>
        <w:rPr>
          <w:i/>
        </w:rPr>
        <w:t>(b)</w:t>
      </w:r>
      <w:r>
        <w:t>(ii) means no more than that an employee whose contract has not been renewed ma</w:t>
      </w:r>
      <w:r>
        <w:t xml:space="preserve">y assert the existence of a dismissal where he or she reasonably harbours an expectation of indefinite employment. Whether or not the dismissal so established is fair is a separate enquiry. In this matter the papers did not disclose a reason for dismissal </w:t>
      </w:r>
      <w:r>
        <w:t xml:space="preserve">that brought the dispute within the ambit of the court’s jurisdiction, nor was there any evidence that the dispute had been referred for conciliation, and this </w:t>
      </w:r>
      <w:proofErr w:type="gramStart"/>
      <w:r>
        <w:t>in itself was</w:t>
      </w:r>
      <w:proofErr w:type="gramEnd"/>
      <w:r>
        <w:t xml:space="preserve"> fatal to any unfair dismissal claim.</w:t>
      </w:r>
    </w:p>
    <w:p w:rsidR="00A54036" w:rsidRDefault="0009205A" w:rsidP="00B71EB5">
      <w:pPr>
        <w:spacing w:after="89" w:line="253" w:lineRule="auto"/>
        <w:ind w:left="-567" w:right="-341" w:firstLine="0"/>
        <w:jc w:val="left"/>
      </w:pPr>
      <w:r>
        <w:rPr>
          <w:rFonts w:ascii="Arial" w:eastAsia="Arial" w:hAnsi="Arial" w:cs="Arial"/>
          <w:sz w:val="22"/>
        </w:rPr>
        <w:t>Settlement Agreement — Validity</w:t>
      </w:r>
    </w:p>
    <w:p w:rsidR="00A54036" w:rsidRDefault="0009205A" w:rsidP="00B71EB5">
      <w:pPr>
        <w:ind w:left="-567" w:right="-341" w:firstLine="0"/>
      </w:pPr>
      <w:r>
        <w:t>At conciliati</w:t>
      </w:r>
      <w:r>
        <w:t xml:space="preserve">on proceedings relating to the granting of </w:t>
      </w:r>
      <w:proofErr w:type="spellStart"/>
      <w:r>
        <w:t>ss</w:t>
      </w:r>
      <w:proofErr w:type="spellEnd"/>
      <w:r>
        <w:t xml:space="preserve"> 12, 13 and 15 organisational rights to a minority union, both the employer representative and the minority union representative held the mistaken view that the existence of a threshold agreement between the emp</w:t>
      </w:r>
      <w:r>
        <w:t xml:space="preserve">loyer and the majority unions precluded the conclusion of a collective agreement conferring organisational rights on the minority union, and this led to the parties entering into a settlement agreement. In later proceedings the Labour Court found that the </w:t>
      </w:r>
      <w:r>
        <w:t xml:space="preserve">settlement agreement was concluded </w:t>
      </w:r>
      <w:proofErr w:type="gramStart"/>
      <w:r>
        <w:t>on the basis of</w:t>
      </w:r>
      <w:proofErr w:type="gramEnd"/>
      <w:r>
        <w:t xml:space="preserve"> a common mistake; and had to be set aside (</w:t>
      </w:r>
      <w:r>
        <w:rPr>
          <w:i/>
        </w:rPr>
        <w:t xml:space="preserve">Association of Mineworkers &amp; Construction Union on behalf of Members v Commission for Conciliation, Mediation &amp; Arbitration &amp; others </w:t>
      </w:r>
      <w:r>
        <w:t>at 1303).</w:t>
      </w:r>
    </w:p>
    <w:p w:rsidR="00B71EB5" w:rsidRDefault="00B71EB5" w:rsidP="00B71EB5">
      <w:pPr>
        <w:ind w:left="-567" w:right="-341" w:firstLine="0"/>
      </w:pPr>
    </w:p>
    <w:p w:rsidR="00B71EB5" w:rsidRDefault="00B71EB5" w:rsidP="00B71EB5">
      <w:pPr>
        <w:ind w:left="-567" w:right="-341" w:firstLine="0"/>
      </w:pPr>
    </w:p>
    <w:p w:rsidR="00A54036" w:rsidRDefault="0009205A" w:rsidP="00B71EB5">
      <w:pPr>
        <w:spacing w:after="89" w:line="253" w:lineRule="auto"/>
        <w:ind w:left="-567" w:right="-341" w:firstLine="0"/>
        <w:jc w:val="left"/>
      </w:pPr>
      <w:bookmarkStart w:id="0" w:name="_GoBack"/>
      <w:bookmarkEnd w:id="0"/>
      <w:r>
        <w:rPr>
          <w:rFonts w:ascii="Arial" w:eastAsia="Arial" w:hAnsi="Arial" w:cs="Arial"/>
          <w:sz w:val="22"/>
        </w:rPr>
        <w:lastRenderedPageBreak/>
        <w:t>Dismissal — Incapac</w:t>
      </w:r>
      <w:r>
        <w:rPr>
          <w:rFonts w:ascii="Arial" w:eastAsia="Arial" w:hAnsi="Arial" w:cs="Arial"/>
          <w:sz w:val="22"/>
        </w:rPr>
        <w:t>ity — Ill-health</w:t>
      </w:r>
    </w:p>
    <w:p w:rsidR="00A54036" w:rsidRDefault="0009205A" w:rsidP="00B71EB5">
      <w:pPr>
        <w:ind w:left="-567" w:right="-341" w:firstLine="0"/>
      </w:pPr>
      <w:r>
        <w:t xml:space="preserve">In </w:t>
      </w:r>
      <w:r>
        <w:rPr>
          <w:i/>
        </w:rPr>
        <w:t xml:space="preserve">General Motors SA (Pty) Ltd v National Union of Metalworkers of SA &amp; others </w:t>
      </w:r>
      <w:r>
        <w:t>(at 1316) the Labour Court confirmed that persistent absence from work because of genuine ill-health is a legitimate ground on which to terminate employment, an</w:t>
      </w:r>
      <w:r>
        <w:t>d one that relates to the capacity and not the conduct of the employee. Substantive fairness in these circumstances requires an assessment of whether the employer could fairly be expected to continue the employment relationship given the nature of the inca</w:t>
      </w:r>
      <w:r>
        <w:t>pacity, its cause, the prospect of recovery, improvement or recurrence, the period of absence and its effect on the employer’s operations and on other employees, and the employee’s work record and length of service. In this review application, the court fo</w:t>
      </w:r>
      <w:r>
        <w:t xml:space="preserve">und that the CCMA commissioner’s refusal or failure to recognise a category of dismissal that permitted an employer to dismiss an employee for persistent or habitual intermittent absence </w:t>
      </w:r>
      <w:proofErr w:type="gramStart"/>
      <w:r>
        <w:t>on account of</w:t>
      </w:r>
      <w:proofErr w:type="gramEnd"/>
      <w:r>
        <w:t xml:space="preserve"> ill-health constituted an error of law and rendered his</w:t>
      </w:r>
      <w:r>
        <w:t xml:space="preserve"> award reviewable.</w:t>
      </w:r>
    </w:p>
    <w:p w:rsidR="00A54036" w:rsidRDefault="0009205A" w:rsidP="00B71EB5">
      <w:pPr>
        <w:spacing w:after="89" w:line="253" w:lineRule="auto"/>
        <w:ind w:left="-567" w:right="-341" w:firstLine="0"/>
        <w:jc w:val="left"/>
      </w:pPr>
      <w:r>
        <w:rPr>
          <w:rFonts w:ascii="Arial" w:eastAsia="Arial" w:hAnsi="Arial" w:cs="Arial"/>
          <w:sz w:val="22"/>
        </w:rPr>
        <w:t xml:space="preserve">Employment of Educators Act 76 of 1998 — Dismissal </w:t>
      </w:r>
      <w:proofErr w:type="gramStart"/>
      <w:r>
        <w:rPr>
          <w:rFonts w:ascii="Arial" w:eastAsia="Arial" w:hAnsi="Arial" w:cs="Arial"/>
          <w:sz w:val="22"/>
        </w:rPr>
        <w:t>by  Operation</w:t>
      </w:r>
      <w:proofErr w:type="gramEnd"/>
      <w:r>
        <w:rPr>
          <w:rFonts w:ascii="Arial" w:eastAsia="Arial" w:hAnsi="Arial" w:cs="Arial"/>
          <w:sz w:val="22"/>
        </w:rPr>
        <w:t xml:space="preserve"> of Law</w:t>
      </w:r>
    </w:p>
    <w:p w:rsidR="00A54036" w:rsidRDefault="0009205A" w:rsidP="00B71EB5">
      <w:pPr>
        <w:ind w:left="-567" w:right="-341" w:firstLine="0"/>
      </w:pPr>
      <w:r>
        <w:t>Section 14(1)</w:t>
      </w:r>
      <w:r>
        <w:rPr>
          <w:i/>
        </w:rPr>
        <w:t xml:space="preserve">(a) </w:t>
      </w:r>
      <w:r>
        <w:t>of the Employment of Educators Act 76 of 1998 provides for the discharge of an educator who has been ‘absent from work’ for a period exceeding 14 co</w:t>
      </w:r>
      <w:r>
        <w:t>nsecutive days without permission. The days envisaged in s 14(1)</w:t>
      </w:r>
      <w:r>
        <w:rPr>
          <w:i/>
        </w:rPr>
        <w:t>(a)</w:t>
      </w:r>
      <w:r>
        <w:t xml:space="preserve"> are stated in clear and unambiguous language — they are days of absence from work, and do not include weekends (</w:t>
      </w:r>
      <w:r>
        <w:rPr>
          <w:i/>
        </w:rPr>
        <w:t>Member of the Executive Council for the Department of Education, Eastern Cap</w:t>
      </w:r>
      <w:r>
        <w:rPr>
          <w:i/>
        </w:rPr>
        <w:t xml:space="preserve">e v </w:t>
      </w:r>
      <w:proofErr w:type="spellStart"/>
      <w:r>
        <w:rPr>
          <w:i/>
        </w:rPr>
        <w:t>Bantwini</w:t>
      </w:r>
      <w:proofErr w:type="spellEnd"/>
      <w:r>
        <w:rPr>
          <w:i/>
        </w:rPr>
        <w:t xml:space="preserve"> NO &amp; others </w:t>
      </w:r>
      <w:r>
        <w:t xml:space="preserve">at 1327). </w:t>
      </w:r>
    </w:p>
    <w:p w:rsidR="00A54036" w:rsidRDefault="0009205A" w:rsidP="00B71EB5">
      <w:pPr>
        <w:spacing w:after="110" w:line="250" w:lineRule="auto"/>
        <w:ind w:left="-567" w:right="-341" w:firstLine="0"/>
        <w:jc w:val="left"/>
      </w:pPr>
      <w:r>
        <w:rPr>
          <w:i/>
        </w:rPr>
        <w:t>Quote of the Month:</w:t>
      </w:r>
    </w:p>
    <w:p w:rsidR="00A54036" w:rsidRDefault="0009205A" w:rsidP="00B71EB5">
      <w:pPr>
        <w:spacing w:after="110" w:line="250" w:lineRule="auto"/>
        <w:ind w:left="-567" w:right="-341" w:firstLine="0"/>
        <w:jc w:val="left"/>
      </w:pPr>
      <w:proofErr w:type="spellStart"/>
      <w:r>
        <w:t>Kollapen</w:t>
      </w:r>
      <w:proofErr w:type="spellEnd"/>
      <w:r>
        <w:t xml:space="preserve"> AJ in </w:t>
      </w:r>
      <w:r>
        <w:rPr>
          <w:i/>
        </w:rPr>
        <w:t xml:space="preserve">Food &amp; Allied Workers Union on behalf of </w:t>
      </w:r>
      <w:proofErr w:type="spellStart"/>
      <w:r>
        <w:rPr>
          <w:i/>
        </w:rPr>
        <w:t>Gaoshubelwe</w:t>
      </w:r>
      <w:proofErr w:type="spellEnd"/>
      <w:r>
        <w:rPr>
          <w:i/>
        </w:rPr>
        <w:t xml:space="preserve"> v </w:t>
      </w:r>
      <w:proofErr w:type="spellStart"/>
      <w:r>
        <w:rPr>
          <w:i/>
        </w:rPr>
        <w:t>Pieman’s</w:t>
      </w:r>
      <w:proofErr w:type="spellEnd"/>
      <w:r>
        <w:rPr>
          <w:i/>
        </w:rPr>
        <w:t xml:space="preserve"> Pantry (Pty) Ltd </w:t>
      </w:r>
      <w:r>
        <w:t xml:space="preserve">(2018) 39 </w:t>
      </w:r>
      <w:r>
        <w:rPr>
          <w:i/>
        </w:rPr>
        <w:t xml:space="preserve">ILJ </w:t>
      </w:r>
      <w:r>
        <w:t>1213 (CC):</w:t>
      </w:r>
    </w:p>
    <w:p w:rsidR="00A54036" w:rsidRDefault="0009205A" w:rsidP="00B71EB5">
      <w:pPr>
        <w:spacing w:after="401"/>
        <w:ind w:left="-567" w:right="-341" w:firstLine="0"/>
      </w:pPr>
      <w:r>
        <w:t>‘The LRA and the Prescription Act both seek to achieve objectives that are comp</w:t>
      </w:r>
      <w:r>
        <w:t xml:space="preserve">atible with each other — the efficient and timely resolution of disputes within a specified time frame. They are not at opposite ends of the litigation spectrum nor do they seek to advance different and inconsistent litigation imperatives. They can and do </w:t>
      </w:r>
      <w:r>
        <w:t>co-exist alongside each other in an integrated fashion.’</w:t>
      </w:r>
    </w:p>
    <w:p w:rsidR="00A54036" w:rsidRDefault="00A54036" w:rsidP="00B71EB5">
      <w:pPr>
        <w:spacing w:after="0" w:line="259" w:lineRule="auto"/>
        <w:ind w:left="0" w:firstLine="0"/>
        <w:jc w:val="left"/>
      </w:pPr>
    </w:p>
    <w:sectPr w:rsidR="00A54036" w:rsidSect="00B71EB5">
      <w:headerReference w:type="even" r:id="rId14"/>
      <w:headerReference w:type="default" r:id="rId15"/>
      <w:footerReference w:type="even" r:id="rId16"/>
      <w:footerReference w:type="default" r:id="rId17"/>
      <w:headerReference w:type="first" r:id="rId18"/>
      <w:footerReference w:type="first" r:id="rId19"/>
      <w:pgSz w:w="9741" w:h="15127"/>
      <w:pgMar w:top="993"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5A" w:rsidRDefault="0009205A">
      <w:pPr>
        <w:spacing w:after="0" w:line="240" w:lineRule="auto"/>
      </w:pPr>
      <w:r>
        <w:separator/>
      </w:r>
    </w:p>
  </w:endnote>
  <w:endnote w:type="continuationSeparator" w:id="0">
    <w:p w:rsidR="0009205A" w:rsidRDefault="0009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762" name="Group 376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763" name="Shape 376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64" name="Shape 376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65" name="Shape 376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66" name="Shape 376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2" style="width:29.5039pt;height:29.5038pt;position:absolute;mso-position-horizontal-relative:page;mso-position-horizontal:absolute;margin-left:0pt;mso-position-vertical-relative:page;margin-top:726.827pt;" coordsize="3747,3746">
              <v:shape id="Shape 3763" style="position:absolute;width:1905;height:0;left:1080;top:0;" coordsize="190500,0" path="m190500,0l0,0">
                <v:stroke weight="0.25pt" endcap="flat" joinstyle="miter" miterlimit="10" on="true" color="#000000"/>
                <v:fill on="false" color="#000000" opacity="0"/>
              </v:shape>
              <v:shape id="Shape 3764" style="position:absolute;width:0;height:1905;left:3747;top:762;" coordsize="0,190500" path="m0,0l0,190500">
                <v:stroke weight="0.25pt" endcap="flat" joinstyle="miter" miterlimit="10" on="true" color="#000000"/>
                <v:fill on="false" color="#000000" opacity="0"/>
              </v:shape>
              <v:shape id="Shape 3765" style="position:absolute;width:0;height:2285;left:2667;top:1461;" coordsize="0,228596" path="m0,228596l0,0">
                <v:stroke weight="0.25pt" endcap="flat" joinstyle="miter" miterlimit="10" on="true" color="#000000"/>
                <v:fill on="false" color="#000000" opacity="0"/>
              </v:shape>
              <v:shape id="Shape 376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767" name="Group 376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768" name="Shape 376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69" name="Shape 376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70" name="Shape 377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7" style="width:29.5041pt;height:29.5038pt;position:absolute;mso-position-horizontal-relative:page;mso-position-horizontal:absolute;margin-left:457.535pt;mso-position-vertical-relative:page;margin-top:726.827pt;" coordsize="3747,3746">
              <v:shape id="Shape 3768" style="position:absolute;width:1905;height:0;left:762;top:0;" coordsize="190500,0" path="m0,0l190500,0">
                <v:stroke weight="0.25pt" endcap="flat" joinstyle="miter" miterlimit="10" on="true" color="#000000"/>
                <v:fill on="false" color="#000000" opacity="0"/>
              </v:shape>
              <v:shape id="Shape 3769" style="position:absolute;width:0;height:1905;left:0;top:762;" coordsize="0,190500" path="m0,0l0,190500">
                <v:stroke weight="0.25pt" endcap="flat" joinstyle="miter" miterlimit="10" on="true" color="#000000"/>
                <v:fill on="false" color="#000000" opacity="0"/>
              </v:shape>
              <v:shape id="Shape 3770" style="position:absolute;width:0;height:2285;left:1080;top:1461;" coordsize="0,228596" path="m0,228596l0,0">
                <v:stroke weight="0.25pt" endcap="flat" joinstyle="miter" miterlimit="10" on="true" color="#000000"/>
                <v:fill on="false" color="#000000" opacity="0"/>
              </v:shape>
              <v:shape id="Shape 3771" style="position:absolute;width:2286;height:0;left:1461;top:1080;" coordsize="228600,0" path="m228600,0l0,0">
                <v:stroke weight="0.2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735" name="Group 3735"/>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736" name="Shape 3736"/>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37" name="Shape 3737"/>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38" name="Shape 3738"/>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39" name="Shape 3739"/>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35" style="width:29.5039pt;height:29.5038pt;position:absolute;mso-position-horizontal-relative:page;mso-position-horizontal:absolute;margin-left:0pt;mso-position-vertical-relative:page;margin-top:726.827pt;" coordsize="3747,3746">
              <v:shape id="Shape 3736" style="position:absolute;width:1905;height:0;left:1080;top:0;" coordsize="190500,0" path="m190500,0l0,0">
                <v:stroke weight="0.25pt" endcap="flat" joinstyle="miter" miterlimit="10" on="true" color="#000000"/>
                <v:fill on="false" color="#000000" opacity="0"/>
              </v:shape>
              <v:shape id="Shape 3737" style="position:absolute;width:0;height:1905;left:3747;top:762;" coordsize="0,190500" path="m0,0l0,190500">
                <v:stroke weight="0.25pt" endcap="flat" joinstyle="miter" miterlimit="10" on="true" color="#000000"/>
                <v:fill on="false" color="#000000" opacity="0"/>
              </v:shape>
              <v:shape id="Shape 3738" style="position:absolute;width:0;height:2285;left:2667;top:1461;" coordsize="0,228596" path="m0,228596l0,0">
                <v:stroke weight="0.25pt" endcap="flat" joinstyle="miter" miterlimit="10" on="true" color="#000000"/>
                <v:fill on="false" color="#000000" opacity="0"/>
              </v:shape>
              <v:shape id="Shape 3739"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740" name="Group 3740"/>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741" name="Shape 3741"/>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42" name="Shape 3742"/>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43" name="Shape 3743"/>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44" name="Shape 3744"/>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40" style="width:29.5041pt;height:29.5038pt;position:absolute;mso-position-horizontal-relative:page;mso-position-horizontal:absolute;margin-left:457.535pt;mso-position-vertical-relative:page;margin-top:726.827pt;" coordsize="3747,3746">
              <v:shape id="Shape 3741" style="position:absolute;width:1905;height:0;left:762;top:0;" coordsize="190500,0" path="m0,0l190500,0">
                <v:stroke weight="0.25pt" endcap="flat" joinstyle="miter" miterlimit="10" on="true" color="#000000"/>
                <v:fill on="false" color="#000000" opacity="0"/>
              </v:shape>
              <v:shape id="Shape 3742" style="position:absolute;width:0;height:1905;left:0;top:762;" coordsize="0,190500" path="m0,0l0,190500">
                <v:stroke weight="0.25pt" endcap="flat" joinstyle="miter" miterlimit="10" on="true" color="#000000"/>
                <v:fill on="false" color="#000000" opacity="0"/>
              </v:shape>
              <v:shape id="Shape 3743" style="position:absolute;width:0;height:2285;left:1080;top:1461;" coordsize="0,228596" path="m0,228596l0,0">
                <v:stroke weight="0.25pt" endcap="flat" joinstyle="miter" miterlimit="10" on="true" color="#000000"/>
                <v:fill on="false" color="#000000" opacity="0"/>
              </v:shape>
              <v:shape id="Shape 3744" style="position:absolute;width:2286;height:0;left:1461;top:1080;" coordsize="228600,0" path="m228600,0l0,0">
                <v:stroke weight="0.2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708" name="Group 370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709" name="Shape 370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0" name="Shape 371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1" name="Shape 371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2" name="Shape 371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8" style="width:29.5039pt;height:29.5038pt;position:absolute;mso-position-horizontal-relative:page;mso-position-horizontal:absolute;margin-left:0pt;mso-position-vertical-relative:page;margin-top:726.827pt;" coordsize="3747,3746">
              <v:shape id="Shape 3709" style="position:absolute;width:1905;height:0;left:1080;top:0;" coordsize="190500,0" path="m190500,0l0,0">
                <v:stroke weight="0.25pt" endcap="flat" joinstyle="miter" miterlimit="10" on="true" color="#000000"/>
                <v:fill on="false" color="#000000" opacity="0"/>
              </v:shape>
              <v:shape id="Shape 3710" style="position:absolute;width:0;height:1905;left:3747;top:762;" coordsize="0,190500" path="m0,0l0,190500">
                <v:stroke weight="0.25pt" endcap="flat" joinstyle="miter" miterlimit="10" on="true" color="#000000"/>
                <v:fill on="false" color="#000000" opacity="0"/>
              </v:shape>
              <v:shape id="Shape 3711" style="position:absolute;width:0;height:2285;left:2667;top:1461;" coordsize="0,228596" path="m0,228596l0,0">
                <v:stroke weight="0.25pt" endcap="flat" joinstyle="miter" miterlimit="10" on="true" color="#000000"/>
                <v:fill on="false" color="#000000" opacity="0"/>
              </v:shape>
              <v:shape id="Shape 371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713" name="Group 371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714" name="Shape 371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5" name="Shape 371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6" name="Shape 371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17" name="Shape 371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13" style="width:29.5041pt;height:29.5038pt;position:absolute;mso-position-horizontal-relative:page;mso-position-horizontal:absolute;margin-left:457.535pt;mso-position-vertical-relative:page;margin-top:726.827pt;" coordsize="3747,3746">
              <v:shape id="Shape 3714" style="position:absolute;width:1905;height:0;left:762;top:0;" coordsize="190500,0" path="m0,0l190500,0">
                <v:stroke weight="0.25pt" endcap="flat" joinstyle="miter" miterlimit="10" on="true" color="#000000"/>
                <v:fill on="false" color="#000000" opacity="0"/>
              </v:shape>
              <v:shape id="Shape 3715" style="position:absolute;width:0;height:1905;left:0;top:762;" coordsize="0,190500" path="m0,0l0,190500">
                <v:stroke weight="0.25pt" endcap="flat" joinstyle="miter" miterlimit="10" on="true" color="#000000"/>
                <v:fill on="false" color="#000000" opacity="0"/>
              </v:shape>
              <v:shape id="Shape 3716" style="position:absolute;width:0;height:2285;left:1080;top:1461;" coordsize="0,228596" path="m0,228596l0,0">
                <v:stroke weight="0.25pt" endcap="flat" joinstyle="miter" miterlimit="10" on="true" color="#000000"/>
                <v:fill on="false" color="#000000" opacity="0"/>
              </v:shape>
              <v:shape id="Shape 3717" style="position:absolute;width:2286;height:0;left:1461;top:1080;" coordsize="228600,0" path="m228600,0l0,0">
                <v:stroke weight="0.25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5A" w:rsidRDefault="0009205A">
      <w:pPr>
        <w:spacing w:after="0" w:line="240" w:lineRule="auto"/>
      </w:pPr>
      <w:r>
        <w:separator/>
      </w:r>
    </w:p>
  </w:footnote>
  <w:footnote w:type="continuationSeparator" w:id="0">
    <w:p w:rsidR="0009205A" w:rsidRDefault="0009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749" name="Group 3749"/>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750" name="Shape 3750"/>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51" name="Shape 3751"/>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52" name="Shape 3752"/>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53" name="Shape 3753"/>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49" style="width:29.5039pt;height:29.5039pt;position:absolute;mso-position-horizontal-relative:page;mso-position-horizontal:absolute;margin-left:0pt;mso-position-vertical-relative:page;margin-top:0.000305176pt;" coordsize="3747,3747">
              <v:shape id="Shape 3750" style="position:absolute;width:1905;height:0;left:1080;top:3747;" coordsize="190500,0" path="m190500,0l0,0">
                <v:stroke weight="0.25pt" endcap="flat" joinstyle="miter" miterlimit="10" on="true" color="#000000"/>
                <v:fill on="false" color="#000000" opacity="0"/>
              </v:shape>
              <v:shape id="Shape 3751" style="position:absolute;width:0;height:1905;left:3747;top:1080;" coordsize="0,190500" path="m0,190500l0,0">
                <v:stroke weight="0.25pt" endcap="flat" joinstyle="miter" miterlimit="10" on="true" color="#000000"/>
                <v:fill on="false" color="#000000" opacity="0"/>
              </v:shape>
              <v:shape id="Shape 3752" style="position:absolute;width:2286;height:0;left:0;top:2667;" coordsize="228600,0" path="m228600,0l0,0">
                <v:stroke weight="0.25pt" endcap="flat" joinstyle="miter" miterlimit="10" on="true" color="#000000"/>
                <v:fill on="false" color="#000000" opacity="0"/>
              </v:shape>
              <v:shape id="Shape 3753"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754" name="Group 3754"/>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755" name="Shape 3755"/>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56" name="Shape 3756"/>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57" name="Shape 3757"/>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4" style="width:29.5041pt;height:23.5039pt;position:absolute;mso-position-horizontal-relative:page;mso-position-horizontal:absolute;margin-left:457.535pt;mso-position-vertical-relative:page;margin-top:0.000305176pt;" coordsize="3747,2985">
              <v:shape id="Shape 3755" style="position:absolute;width:0;height:1905;left:0;top:1080;" coordsize="0,190500" path="m0,190500l0,0">
                <v:stroke weight="0.25pt" endcap="flat" joinstyle="miter" miterlimit="10" on="true" color="#000000"/>
                <v:fill on="false" color="#000000" opacity="0"/>
              </v:shape>
              <v:shape id="Shape 3756" style="position:absolute;width:2286;height:0;left:1461;top:2667;" coordsize="228600,0" path="m228600,0l0,0">
                <v:stroke weight="0.25pt" endcap="flat" joinstyle="miter" miterlimit="10" on="true" color="#000000"/>
                <v:fill on="false" color="#000000" opacity="0"/>
              </v:shape>
              <v:shape id="Shape 3757"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722" name="Group 372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723" name="Shape 372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24" name="Shape 372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25" name="Shape 372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26" name="Shape 372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22" style="width:29.5039pt;height:29.5039pt;position:absolute;mso-position-horizontal-relative:page;mso-position-horizontal:absolute;margin-left:0pt;mso-position-vertical-relative:page;margin-top:0.000305176pt;" coordsize="3747,3747">
              <v:shape id="Shape 3723" style="position:absolute;width:1905;height:0;left:1080;top:3747;" coordsize="190500,0" path="m190500,0l0,0">
                <v:stroke weight="0.25pt" endcap="flat" joinstyle="miter" miterlimit="10" on="true" color="#000000"/>
                <v:fill on="false" color="#000000" opacity="0"/>
              </v:shape>
              <v:shape id="Shape 3724" style="position:absolute;width:0;height:1905;left:3747;top:1080;" coordsize="0,190500" path="m0,190500l0,0">
                <v:stroke weight="0.25pt" endcap="flat" joinstyle="miter" miterlimit="10" on="true" color="#000000"/>
                <v:fill on="false" color="#000000" opacity="0"/>
              </v:shape>
              <v:shape id="Shape 3725" style="position:absolute;width:2286;height:0;left:0;top:2667;" coordsize="228600,0" path="m228600,0l0,0">
                <v:stroke weight="0.25pt" endcap="flat" joinstyle="miter" miterlimit="10" on="true" color="#000000"/>
                <v:fill on="false" color="#000000" opacity="0"/>
              </v:shape>
              <v:shape id="Shape 372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727" name="Group 3727"/>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728" name="Shape 3728"/>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29" name="Shape 3729"/>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30" name="Shape 3730"/>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27" style="width:29.5041pt;height:23.5039pt;position:absolute;mso-position-horizontal-relative:page;mso-position-horizontal:absolute;margin-left:457.535pt;mso-position-vertical-relative:page;margin-top:0.000305176pt;" coordsize="3747,2985">
              <v:shape id="Shape 3728" style="position:absolute;width:0;height:1905;left:0;top:1080;" coordsize="0,190500" path="m0,190500l0,0">
                <v:stroke weight="0.25pt" endcap="flat" joinstyle="miter" miterlimit="10" on="true" color="#000000"/>
                <v:fill on="false" color="#000000" opacity="0"/>
              </v:shape>
              <v:shape id="Shape 3729" style="position:absolute;width:2286;height:0;left:1461;top:2667;" coordsize="228600,0" path="m228600,0l0,0">
                <v:stroke weight="0.25pt" endcap="flat" joinstyle="miter" miterlimit="10" on="true" color="#000000"/>
                <v:fill on="false" color="#000000" opacity="0"/>
              </v:shape>
              <v:shape id="Shape 3730"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36" w:rsidRDefault="0009205A">
    <w:pPr>
      <w:spacing w:after="0" w:line="259" w:lineRule="auto"/>
      <w:ind w:left="-1440" w:right="8301"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695" name="Group 369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696" name="Shape 369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697" name="Shape 369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698" name="Shape 369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699" name="Shape 369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95" style="width:29.5039pt;height:29.5039pt;position:absolute;mso-position-horizontal-relative:page;mso-position-horizontal:absolute;margin-left:0pt;mso-position-vertical-relative:page;margin-top:0.000305176pt;" coordsize="3747,3747">
              <v:shape id="Shape 3696" style="position:absolute;width:1905;height:0;left:1080;top:3747;" coordsize="190500,0" path="m190500,0l0,0">
                <v:stroke weight="0.25pt" endcap="flat" joinstyle="miter" miterlimit="10" on="true" color="#000000"/>
                <v:fill on="false" color="#000000" opacity="0"/>
              </v:shape>
              <v:shape id="Shape 3697" style="position:absolute;width:0;height:1905;left:3747;top:1080;" coordsize="0,190500" path="m0,190500l0,0">
                <v:stroke weight="0.25pt" endcap="flat" joinstyle="miter" miterlimit="10" on="true" color="#000000"/>
                <v:fill on="false" color="#000000" opacity="0"/>
              </v:shape>
              <v:shape id="Shape 3698" style="position:absolute;width:2286;height:0;left:0;top:2667;" coordsize="228600,0" path="m228600,0l0,0">
                <v:stroke weight="0.25pt" endcap="flat" joinstyle="miter" miterlimit="10" on="true" color="#000000"/>
                <v:fill on="false" color="#000000" opacity="0"/>
              </v:shape>
              <v:shape id="Shape 369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700" name="Group 3700"/>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701" name="Shape 3701"/>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02" name="Shape 3702"/>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703" name="Shape 3703"/>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0" style="width:29.5041pt;height:23.5039pt;position:absolute;mso-position-horizontal-relative:page;mso-position-horizontal:absolute;margin-left:457.535pt;mso-position-vertical-relative:page;margin-top:0.000305176pt;" coordsize="3747,2985">
              <v:shape id="Shape 3701" style="position:absolute;width:0;height:1905;left:0;top:1080;" coordsize="0,190500" path="m0,190500l0,0">
                <v:stroke weight="0.25pt" endcap="flat" joinstyle="miter" miterlimit="10" on="true" color="#000000"/>
                <v:fill on="false" color="#000000" opacity="0"/>
              </v:shape>
              <v:shape id="Shape 3702" style="position:absolute;width:2286;height:0;left:1461;top:2667;" coordsize="228600,0" path="m228600,0l0,0">
                <v:stroke weight="0.25pt" endcap="flat" joinstyle="miter" miterlimit="10" on="true" color="#000000"/>
                <v:fill on="false" color="#000000" opacity="0"/>
              </v:shape>
              <v:shape id="Shape 3703"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36"/>
    <w:rsid w:val="0009205A"/>
    <w:rsid w:val="00A54036"/>
    <w:rsid w:val="00B71EB5"/>
    <w:rsid w:val="00CB11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225A"/>
  <w15:docId w15:val="{33785DF1-FDC3-4F86-BE77-6ECB3B09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9" w:line="248" w:lineRule="auto"/>
      <w:ind w:left="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2018-05-21T07:21:00Z</dcterms:created>
  <dcterms:modified xsi:type="dcterms:W3CDTF">2018-05-21T07:21:00Z</dcterms:modified>
</cp:coreProperties>
</file>