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D7" w:rsidRDefault="0015101A">
      <w:pPr>
        <w:spacing w:after="376" w:line="259" w:lineRule="auto"/>
        <w:ind w:left="-907" w:right="-1327" w:firstLine="0"/>
        <w:jc w:val="left"/>
      </w:pPr>
      <w:r>
        <w:rPr>
          <w:rFonts w:ascii="Calibri" w:eastAsia="Calibri" w:hAnsi="Calibri" w:cs="Calibri"/>
          <w:noProof/>
          <w:color w:val="000000"/>
          <w:sz w:val="22"/>
        </w:rPr>
        <mc:AlternateContent>
          <mc:Choice Requires="wpg">
            <w:drawing>
              <wp:inline distT="0" distB="0" distL="0" distR="0">
                <wp:extent cx="5702694" cy="3538450"/>
                <wp:effectExtent l="0" t="0" r="0" b="0"/>
                <wp:docPr id="2545" name="Group 2545"/>
                <wp:cNvGraphicFramePr/>
                <a:graphic xmlns:a="http://schemas.openxmlformats.org/drawingml/2006/main">
                  <a:graphicData uri="http://schemas.microsoft.com/office/word/2010/wordprocessingGroup">
                    <wpg:wgp>
                      <wpg:cNvGrpSpPr/>
                      <wpg:grpSpPr>
                        <a:xfrm>
                          <a:off x="0" y="0"/>
                          <a:ext cx="5702694" cy="3538450"/>
                          <a:chOff x="0" y="0"/>
                          <a:chExt cx="5702694" cy="3538450"/>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2D71D7" w:rsidRDefault="0015101A">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342"/>
                            <a:ext cx="2364909" cy="585780"/>
                          </a:xfrm>
                          <a:prstGeom prst="rect">
                            <a:avLst/>
                          </a:prstGeom>
                          <a:ln>
                            <a:noFill/>
                          </a:ln>
                        </wps:spPr>
                        <wps:txbx>
                          <w:txbxContent>
                            <w:p w:rsidR="002D71D7" w:rsidRDefault="0015101A">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2D71D7" w:rsidRDefault="0015101A">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2D71D7" w:rsidRDefault="0015101A">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2D71D7" w:rsidRDefault="0015101A">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2995" name="Shape 2995"/>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416273" cy="507675"/>
                          </a:xfrm>
                          <a:prstGeom prst="rect">
                            <a:avLst/>
                          </a:prstGeom>
                          <a:ln>
                            <a:noFill/>
                          </a:ln>
                        </wps:spPr>
                        <wps:txbx>
                          <w:txbxContent>
                            <w:p w:rsidR="002D71D7" w:rsidRDefault="0015101A">
                              <w:pPr>
                                <w:spacing w:after="160" w:line="259" w:lineRule="auto"/>
                                <w:ind w:left="0" w:right="0" w:firstLine="0"/>
                                <w:jc w:val="left"/>
                              </w:pPr>
                              <w:r>
                                <w:rPr>
                                  <w:rFonts w:ascii="Arial" w:eastAsia="Arial" w:hAnsi="Arial" w:cs="Arial"/>
                                  <w:sz w:val="52"/>
                                </w:rPr>
                                <w:t>HIGHLIGHTS OF</w:t>
                              </w:r>
                            </w:p>
                          </w:txbxContent>
                        </wps:txbx>
                        <wps:bodyPr horzOverflow="overflow" vert="horz" lIns="0" tIns="0" rIns="0" bIns="0" rtlCol="0">
                          <a:noAutofit/>
                        </wps:bodyPr>
                      </wps:wsp>
                      <wps:wsp>
                        <wps:cNvPr id="16" name="Rectangle 16"/>
                        <wps:cNvSpPr/>
                        <wps:spPr>
                          <a:xfrm>
                            <a:off x="3858302" y="1852364"/>
                            <a:ext cx="122088" cy="507675"/>
                          </a:xfrm>
                          <a:prstGeom prst="rect">
                            <a:avLst/>
                          </a:prstGeom>
                          <a:ln>
                            <a:noFill/>
                          </a:ln>
                        </wps:spPr>
                        <wps:txbx>
                          <w:txbxContent>
                            <w:p w:rsidR="002D71D7" w:rsidRDefault="0015101A">
                              <w:pPr>
                                <w:spacing w:after="160" w:line="259" w:lineRule="auto"/>
                                <w:ind w:left="0" w:right="0" w:firstLine="0"/>
                                <w:jc w:val="left"/>
                              </w:pPr>
                              <w:r>
                                <w:rPr>
                                  <w:rFonts w:ascii="Arial" w:eastAsia="Arial" w:hAnsi="Arial" w:cs="Arial"/>
                                  <w:sz w:val="52"/>
                                </w:rPr>
                                <w:t xml:space="preserve"> </w:t>
                              </w:r>
                            </w:p>
                          </w:txbxContent>
                        </wps:txbx>
                        <wps:bodyPr horzOverflow="overflow" vert="horz" lIns="0" tIns="0" rIns="0" bIns="0" rtlCol="0">
                          <a:noAutofit/>
                        </wps:bodyPr>
                      </wps:wsp>
                      <wps:wsp>
                        <wps:cNvPr id="17" name="Rectangle 17"/>
                        <wps:cNvSpPr/>
                        <wps:spPr>
                          <a:xfrm>
                            <a:off x="824290" y="2248603"/>
                            <a:ext cx="4776370" cy="507675"/>
                          </a:xfrm>
                          <a:prstGeom prst="rect">
                            <a:avLst/>
                          </a:prstGeom>
                          <a:ln>
                            <a:noFill/>
                          </a:ln>
                        </wps:spPr>
                        <wps:txbx>
                          <w:txbxContent>
                            <w:p w:rsidR="002D71D7" w:rsidRDefault="0015101A">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8" name="Rectangle 18"/>
                        <wps:cNvSpPr/>
                        <wps:spPr>
                          <a:xfrm>
                            <a:off x="1780870" y="2644843"/>
                            <a:ext cx="2109754" cy="507676"/>
                          </a:xfrm>
                          <a:prstGeom prst="rect">
                            <a:avLst/>
                          </a:prstGeom>
                          <a:ln>
                            <a:noFill/>
                          </a:ln>
                        </wps:spPr>
                        <wps:txbx>
                          <w:txbxContent>
                            <w:p w:rsidR="002D71D7" w:rsidRDefault="0015101A">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9" name="Rectangle 19"/>
                        <wps:cNvSpPr/>
                        <wps:spPr>
                          <a:xfrm>
                            <a:off x="576001" y="1319647"/>
                            <a:ext cx="1157202" cy="195260"/>
                          </a:xfrm>
                          <a:prstGeom prst="rect">
                            <a:avLst/>
                          </a:prstGeom>
                          <a:ln>
                            <a:noFill/>
                          </a:ln>
                        </wps:spPr>
                        <wps:txbx>
                          <w:txbxContent>
                            <w:p w:rsidR="002D71D7" w:rsidRDefault="0015101A">
                              <w:pPr>
                                <w:spacing w:after="160" w:line="259" w:lineRule="auto"/>
                                <w:ind w:left="0" w:right="0" w:firstLine="0"/>
                                <w:jc w:val="left"/>
                              </w:pPr>
                              <w:r>
                                <w:rPr>
                                  <w:rFonts w:ascii="Arial" w:eastAsia="Arial" w:hAnsi="Arial" w:cs="Arial"/>
                                  <w:sz w:val="20"/>
                                </w:rPr>
                                <w:t xml:space="preserve">VOLUME 38  </w:t>
                              </w:r>
                            </w:p>
                          </w:txbxContent>
                        </wps:txbx>
                        <wps:bodyPr horzOverflow="overflow" vert="horz" lIns="0" tIns="0" rIns="0" bIns="0" rtlCol="0">
                          <a:noAutofit/>
                        </wps:bodyPr>
                      </wps:wsp>
                      <wps:wsp>
                        <wps:cNvPr id="20" name="Rectangle 20"/>
                        <wps:cNvSpPr/>
                        <wps:spPr>
                          <a:xfrm>
                            <a:off x="1531422" y="1319647"/>
                            <a:ext cx="535107" cy="195260"/>
                          </a:xfrm>
                          <a:prstGeom prst="rect">
                            <a:avLst/>
                          </a:prstGeom>
                          <a:ln>
                            <a:noFill/>
                          </a:ln>
                        </wps:spPr>
                        <wps:txbx>
                          <w:txbxContent>
                            <w:p w:rsidR="002D71D7" w:rsidRDefault="0015101A">
                              <w:pPr>
                                <w:spacing w:after="160" w:line="259" w:lineRule="auto"/>
                                <w:ind w:left="0" w:right="0" w:firstLine="0"/>
                                <w:jc w:val="left"/>
                              </w:pPr>
                              <w:r>
                                <w:rPr>
                                  <w:rFonts w:ascii="Arial" w:eastAsia="Arial" w:hAnsi="Arial" w:cs="Arial"/>
                                  <w:sz w:val="20"/>
                                </w:rPr>
                                <w:t xml:space="preserve">APRIL </w:t>
                              </w:r>
                            </w:p>
                          </w:txbxContent>
                        </wps:txbx>
                        <wps:bodyPr horzOverflow="overflow" vert="horz" lIns="0" tIns="0" rIns="0" bIns="0" rtlCol="0">
                          <a:noAutofit/>
                        </wps:bodyPr>
                      </wps:wsp>
                      <wps:wsp>
                        <wps:cNvPr id="21" name="Rectangle 21"/>
                        <wps:cNvSpPr/>
                        <wps:spPr>
                          <a:xfrm>
                            <a:off x="4304213" y="1319647"/>
                            <a:ext cx="356231" cy="195260"/>
                          </a:xfrm>
                          <a:prstGeom prst="rect">
                            <a:avLst/>
                          </a:prstGeom>
                          <a:ln>
                            <a:noFill/>
                          </a:ln>
                        </wps:spPr>
                        <wps:txbx>
                          <w:txbxContent>
                            <w:p w:rsidR="002D71D7" w:rsidRDefault="0015101A">
                              <w:pPr>
                                <w:spacing w:after="160" w:line="259" w:lineRule="auto"/>
                                <w:ind w:left="0" w:right="0" w:firstLine="0"/>
                                <w:jc w:val="left"/>
                              </w:pPr>
                              <w:r>
                                <w:rPr>
                                  <w:rFonts w:ascii="Arial" w:eastAsia="Arial" w:hAnsi="Arial" w:cs="Arial"/>
                                  <w:sz w:val="20"/>
                                </w:rPr>
                                <w:t>2017</w:t>
                              </w:r>
                            </w:p>
                          </w:txbxContent>
                        </wps:txbx>
                        <wps:bodyPr horzOverflow="overflow" vert="horz" lIns="0" tIns="0" rIns="0" bIns="0" rtlCol="0">
                          <a:noAutofit/>
                        </wps:bodyPr>
                      </wps:wsp>
                      <wps:wsp>
                        <wps:cNvPr id="91" name="Shape 91"/>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96" name="Shape 96"/>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45" style="width:449.031pt;height:278.618pt;mso-position-horizontal-relative:char;mso-position-vertical-relative:line" coordsize="57026,35384">
                <v:shape id="Picture 6" style="position:absolute;width:2590;height:3886;left:6351;top:11539;" filled="f">
                  <v:imagedata r:id="rId7"/>
                </v:shape>
                <v:rect id="Rectangle 7" style="position:absolute;width:42159;height:5857;left:5400;top:15895;" filled="f" stroked="f">
                  <v:textbox inset="0,0,0,0">
                    <w:txbxContent>
                      <w:p>
                        <w:pPr>
                          <w:spacing w:before="0" w:after="160" w:line="259" w:lineRule="auto"/>
                          <w:ind w:left="0" w:right="0" w:firstLine="0"/>
                          <w:jc w:val="left"/>
                        </w:pPr>
                        <w:r>
                          <w:rPr>
                            <w:rFonts w:cs="Arial" w:hAnsi="Arial" w:eastAsia="Arial" w:ascii="Arial"/>
                            <w:sz w:val="60"/>
                          </w:rPr>
                          <w:t xml:space="preserve">INDUSTRIAL LAW</w:t>
                        </w:r>
                      </w:p>
                    </w:txbxContent>
                  </v:textbox>
                </v:rect>
                <v:rect id="Rectangle 8" style="position:absolute;width:23649;height:5857;left:5400;top:20213;" filled="f" stroked="f">
                  <v:textbox inset="0,0,0,0">
                    <w:txbxContent>
                      <w:p>
                        <w:pPr>
                          <w:spacing w:before="0" w:after="160" w:line="259" w:lineRule="auto"/>
                          <w:ind w:left="0" w:right="0" w:firstLine="0"/>
                          <w:jc w:val="left"/>
                        </w:pPr>
                        <w:r>
                          <w:rPr>
                            <w:rFonts w:cs="Arial" w:hAnsi="Arial" w:eastAsia="Arial" w:ascii="Arial"/>
                            <w:sz w:val="60"/>
                          </w:rPr>
                          <w:t xml:space="preserve">JOURNAL</w:t>
                        </w:r>
                      </w:p>
                    </w:txbxContent>
                  </v:textbox>
                </v:rect>
                <v:rect id="Rectangle 9" style="position:absolute;width:11572;height:1952;left:5400;top:25796;" filled="f" stroked="f">
                  <v:textbox inset="0,0,0,0">
                    <w:txbxContent>
                      <w:p>
                        <w:pPr>
                          <w:spacing w:before="0" w:after="160" w:line="259" w:lineRule="auto"/>
                          <w:ind w:left="0" w:right="0" w:firstLine="0"/>
                          <w:jc w:val="left"/>
                        </w:pPr>
                        <w:r>
                          <w:rPr>
                            <w:rFonts w:cs="Arial" w:hAnsi="Arial" w:eastAsia="Arial" w:ascii="Arial"/>
                            <w:sz w:val="20"/>
                          </w:rPr>
                          <w:t xml:space="preserve">VOLUME 34  </w:t>
                        </w:r>
                      </w:p>
                    </w:txbxContent>
                  </v:textbox>
                </v:rect>
                <v:rect id="Rectangle 10" style="position:absolute;width:9224;height:1952;left:15017;top:25796;" filled="f" stroked="f">
                  <v:textbox inset="0,0,0,0">
                    <w:txbxContent>
                      <w:p>
                        <w:pPr>
                          <w:spacing w:before="0" w:after="160" w:line="259" w:lineRule="auto"/>
                          <w:ind w:left="0" w:right="0" w:firstLine="0"/>
                          <w:jc w:val="left"/>
                        </w:pPr>
                        <w:r>
                          <w:rPr>
                            <w:rFonts w:cs="Arial" w:hAnsi="Arial" w:eastAsia="Arial" w:ascii="Arial"/>
                            <w:sz w:val="20"/>
                          </w:rPr>
                          <w:t xml:space="preserve"> OCTOBER </w:t>
                        </w:r>
                      </w:p>
                    </w:txbxContent>
                  </v:textbox>
                </v:rect>
                <v:rect id="Rectangle 11" style="position:absolute;width:3562;height:1952;left:43402;top:25796;" filled="f" stroked="f">
                  <v:textbox inset="0,0,0,0">
                    <w:txbxContent>
                      <w:p>
                        <w:pPr>
                          <w:spacing w:before="0" w:after="160" w:line="259" w:lineRule="auto"/>
                          <w:ind w:left="0" w:right="0" w:firstLine="0"/>
                          <w:jc w:val="left"/>
                        </w:pPr>
                        <w:r>
                          <w:rPr>
                            <w:rFonts w:cs="Arial" w:hAnsi="Arial" w:eastAsia="Arial" w:ascii="Arial"/>
                            <w:sz w:val="20"/>
                          </w:rPr>
                          <w:t xml:space="preserve">2013</w:t>
                        </w:r>
                      </w:p>
                    </w:txbxContent>
                  </v:textbox>
                </v:rect>
                <v:shape id="Shape 2996" style="position:absolute;width:55413;height:33720;left:0;top:1586;" coordsize="5541391,3372002" path="m0,0l5541391,0l5541391,3372002l0,3372002l0,0">
                  <v:stroke weight="0pt" endcap="flat" joinstyle="miter" miterlimit="10" on="false" color="#000000" opacity="0"/>
                  <v:fill on="true" color="#d3d2d2"/>
                </v:shape>
                <v:shape id="Shape 14" style="position:absolute;width:55439;height:0;left:0;top:35384;" coordsize="5543995,0" path="m0,0l5543995,0">
                  <v:stroke weight="5pt" endcap="flat" joinstyle="miter" miterlimit="4" on="true" color="#181717"/>
                  <v:fill on="false" color="#000000" opacity="0"/>
                </v:shape>
                <v:rect id="Rectangle 15" style="position:absolute;width:34162;height:5076;left:12896;top:18523;" filled="f" stroked="f">
                  <v:textbox inset="0,0,0,0">
                    <w:txbxContent>
                      <w:p>
                        <w:pPr>
                          <w:spacing w:before="0" w:after="160" w:line="259" w:lineRule="auto"/>
                          <w:ind w:left="0" w:right="0" w:firstLine="0"/>
                          <w:jc w:val="left"/>
                        </w:pPr>
                        <w:r>
                          <w:rPr>
                            <w:rFonts w:cs="Arial" w:hAnsi="Arial" w:eastAsia="Arial" w:ascii="Arial"/>
                            <w:sz w:val="52"/>
                          </w:rPr>
                          <w:t xml:space="preserve">HIGHLIGHTS OF</w:t>
                        </w:r>
                      </w:p>
                    </w:txbxContent>
                  </v:textbox>
                </v:rect>
                <v:rect id="Rectangle 16" style="position:absolute;width:1220;height:5076;left:38583;top:18523;" filled="f" stroked="f">
                  <v:textbox inset="0,0,0,0">
                    <w:txbxContent>
                      <w:p>
                        <w:pPr>
                          <w:spacing w:before="0" w:after="160" w:line="259" w:lineRule="auto"/>
                          <w:ind w:left="0" w:right="0" w:firstLine="0"/>
                          <w:jc w:val="left"/>
                        </w:pPr>
                        <w:r>
                          <w:rPr>
                            <w:rFonts w:cs="Arial" w:hAnsi="Arial" w:eastAsia="Arial" w:ascii="Arial"/>
                            <w:sz w:val="52"/>
                          </w:rPr>
                          <w:t xml:space="preserve"> </w:t>
                        </w:r>
                      </w:p>
                    </w:txbxContent>
                  </v:textbox>
                </v:rect>
                <v:rect id="Rectangle 17" style="position:absolute;width:47763;height:5076;left:8242;top:22486;" filled="f" stroked="f">
                  <v:textbox inset="0,0,0,0">
                    <w:txbxContent>
                      <w:p>
                        <w:pPr>
                          <w:spacing w:before="0" w:after="160" w:line="259" w:lineRule="auto"/>
                          <w:ind w:left="0" w:right="0" w:firstLine="0"/>
                          <w:jc w:val="left"/>
                        </w:pPr>
                        <w:r>
                          <w:rPr>
                            <w:rFonts w:cs="Arial" w:hAnsi="Arial" w:eastAsia="Arial" w:ascii="Arial"/>
                            <w:sz w:val="52"/>
                          </w:rPr>
                          <w:t xml:space="preserve">THE INDUSTRIAL LAW </w:t>
                        </w:r>
                      </w:p>
                    </w:txbxContent>
                  </v:textbox>
                </v:rect>
                <v:rect id="Rectangle 18" style="position:absolute;width:21097;height:5076;left:17808;top:26448;" filled="f" stroked="f">
                  <v:textbox inset="0,0,0,0">
                    <w:txbxContent>
                      <w:p>
                        <w:pPr>
                          <w:spacing w:before="0" w:after="160" w:line="259" w:lineRule="auto"/>
                          <w:ind w:left="0" w:right="0" w:firstLine="0"/>
                          <w:jc w:val="left"/>
                        </w:pPr>
                        <w:r>
                          <w:rPr>
                            <w:rFonts w:cs="Arial" w:hAnsi="Arial" w:eastAsia="Arial" w:ascii="Arial"/>
                            <w:sz w:val="52"/>
                          </w:rPr>
                          <w:t xml:space="preserve">REPORTS</w:t>
                        </w:r>
                      </w:p>
                    </w:txbxContent>
                  </v:textbox>
                </v:rect>
                <v:rect id="Rectangle 19" style="position:absolute;width:11572;height:1952;left:5760;top:13196;" filled="f" stroked="f">
                  <v:textbox inset="0,0,0,0">
                    <w:txbxContent>
                      <w:p>
                        <w:pPr>
                          <w:spacing w:before="0" w:after="160" w:line="259" w:lineRule="auto"/>
                          <w:ind w:left="0" w:right="0" w:firstLine="0"/>
                          <w:jc w:val="left"/>
                        </w:pPr>
                        <w:r>
                          <w:rPr>
                            <w:rFonts w:cs="Arial" w:hAnsi="Arial" w:eastAsia="Arial" w:ascii="Arial"/>
                            <w:sz w:val="20"/>
                          </w:rPr>
                          <w:t xml:space="preserve">VOLUME 38  </w:t>
                        </w:r>
                      </w:p>
                    </w:txbxContent>
                  </v:textbox>
                </v:rect>
                <v:rect id="Rectangle 20" style="position:absolute;width:5351;height:1952;left:15314;top:13196;" filled="f" stroked="f">
                  <v:textbox inset="0,0,0,0">
                    <w:txbxContent>
                      <w:p>
                        <w:pPr>
                          <w:spacing w:before="0" w:after="160" w:line="259" w:lineRule="auto"/>
                          <w:ind w:left="0" w:right="0" w:firstLine="0"/>
                          <w:jc w:val="left"/>
                        </w:pPr>
                        <w:r>
                          <w:rPr>
                            <w:rFonts w:cs="Arial" w:hAnsi="Arial" w:eastAsia="Arial" w:ascii="Arial"/>
                            <w:sz w:val="20"/>
                          </w:rPr>
                          <w:t xml:space="preserve">APRIL </w:t>
                        </w:r>
                      </w:p>
                    </w:txbxContent>
                  </v:textbox>
                </v:rect>
                <v:rect id="Rectangle 21" style="position:absolute;width:3562;height:1952;left:43042;top:13196;" filled="f" stroked="f">
                  <v:textbox inset="0,0,0,0">
                    <w:txbxContent>
                      <w:p>
                        <w:pPr>
                          <w:spacing w:before="0" w:after="160" w:line="259" w:lineRule="auto"/>
                          <w:ind w:left="0" w:right="0" w:firstLine="0"/>
                          <w:jc w:val="left"/>
                        </w:pPr>
                        <w:r>
                          <w:rPr>
                            <w:rFonts w:cs="Arial" w:hAnsi="Arial" w:eastAsia="Arial" w:ascii="Arial"/>
                            <w:sz w:val="20"/>
                          </w:rPr>
                          <w:t xml:space="preserve">2017</w:t>
                        </w:r>
                      </w:p>
                    </w:txbxContent>
                  </v:textbox>
                </v:rect>
                <v:shape id="Shape 91" style="position:absolute;width:1905;height:0;left:55121;top:2667;" coordsize="190500,0" path="m0,0l190500,0">
                  <v:stroke weight="0.25pt" endcap="flat" joinstyle="miter" miterlimit="10" on="true" color="#000000"/>
                  <v:fill on="false" color="#000000" opacity="0"/>
                </v:shape>
                <v:shape id="Shape 96" style="position:absolute;width:0;height:1905;left:54359;top:0;" coordsize="0,190500" path="m0,190500l0,0">
                  <v:stroke weight="0.25pt" endcap="flat" joinstyle="miter" miterlimit="10" on="true" color="#000000"/>
                  <v:fill on="false" color="#000000" opacity="0"/>
                </v:shape>
              </v:group>
            </w:pict>
          </mc:Fallback>
        </mc:AlternateContent>
      </w:r>
    </w:p>
    <w:p w:rsidR="002D71D7" w:rsidRDefault="0015101A" w:rsidP="00DE6948">
      <w:pPr>
        <w:spacing w:after="87" w:line="257" w:lineRule="auto"/>
        <w:ind w:left="-567" w:right="0" w:firstLine="0"/>
        <w:jc w:val="left"/>
      </w:pPr>
      <w:r>
        <w:rPr>
          <w:rFonts w:ascii="Arial" w:eastAsia="Arial" w:hAnsi="Arial" w:cs="Arial"/>
          <w:sz w:val="22"/>
        </w:rPr>
        <w:t>Collective Agreements — Extension to Non-parties</w:t>
      </w:r>
    </w:p>
    <w:p w:rsidR="002D71D7" w:rsidRDefault="0015101A" w:rsidP="00DE6948">
      <w:pPr>
        <w:ind w:left="-567" w:right="-79" w:firstLine="0"/>
      </w:pPr>
      <w:r>
        <w:t xml:space="preserve">In a unanimous judgment the Constitutional Court upheld the judgment of the Labour Appeal Court in </w:t>
      </w:r>
      <w:r>
        <w:rPr>
          <w:i/>
        </w:rPr>
        <w:t>Association of Mineworkers &amp; Construction Union &amp; others v Chamber of Mines of SA acting in its own name &amp; on behalf of Harmony Gold Mining Co (Pty) Ltd &amp; ot</w:t>
      </w:r>
      <w:r>
        <w:rPr>
          <w:i/>
        </w:rPr>
        <w:t>hers</w:t>
      </w:r>
      <w:r>
        <w:t xml:space="preserve"> (2016) 37 </w:t>
      </w:r>
      <w:r>
        <w:rPr>
          <w:i/>
        </w:rPr>
        <w:t>ILJ</w:t>
      </w:r>
      <w:r>
        <w:t xml:space="preserve"> 1333 (LAC) which had found that a collective agreement concluded between the employers’ organisation and the majority trade unions in the gold mining industry could be extended in terms of s 23(1)</w:t>
      </w:r>
      <w:r>
        <w:rPr>
          <w:i/>
        </w:rPr>
        <w:t xml:space="preserve">(d) </w:t>
      </w:r>
      <w:r>
        <w:t xml:space="preserve">of the LRA 1995 to bind members of a </w:t>
      </w:r>
      <w:r>
        <w:t>non-party union. The Constitutional Court found, inter alia, that the statutory definition of ‘workplace’ applied to s 23(1)</w:t>
      </w:r>
      <w:r>
        <w:rPr>
          <w:i/>
        </w:rPr>
        <w:t>(d)</w:t>
      </w:r>
      <w:r>
        <w:t>, and that whether the place where employees worked constituted a separate ‘workplace’ was not dependent on geography or location</w:t>
      </w:r>
      <w:r>
        <w:t xml:space="preserve"> but on functional organisation. The court rejected the union’s constitutional challenge, finding, inter alia, that the limitation on the right to strike in s 23(1)</w:t>
      </w:r>
      <w:r>
        <w:rPr>
          <w:i/>
        </w:rPr>
        <w:t>(d)</w:t>
      </w:r>
      <w:r>
        <w:t xml:space="preserve"> was reasonable and justifiable based on the principle of majoritarianism, which benefitt</w:t>
      </w:r>
      <w:r>
        <w:t>ed collective bargaining (</w:t>
      </w:r>
      <w:r>
        <w:rPr>
          <w:i/>
        </w:rPr>
        <w:t xml:space="preserve">Association of Mineworkers &amp; Construction Union &amp; others v Chamber of Mines of SA &amp; others </w:t>
      </w:r>
      <w:r>
        <w:t>at 831).</w:t>
      </w:r>
    </w:p>
    <w:p w:rsidR="00DE6948" w:rsidRDefault="00DE6948">
      <w:pPr>
        <w:ind w:left="-5" w:right="496"/>
      </w:pPr>
    </w:p>
    <w:p w:rsidR="002D71D7" w:rsidRDefault="0015101A" w:rsidP="00DE6948">
      <w:pPr>
        <w:ind w:left="-567" w:right="-79" w:firstLine="0"/>
      </w:pPr>
      <w:r>
        <w:t xml:space="preserve"> In </w:t>
      </w:r>
      <w:r>
        <w:rPr>
          <w:i/>
        </w:rPr>
        <w:t xml:space="preserve">Association of Mineworkers &amp; Construction Union &amp; others v Bafokeng Rasimone Management Services (Pty) Ltd &amp; others </w:t>
      </w:r>
      <w:r>
        <w:t>(at 931) t</w:t>
      </w:r>
      <w:r>
        <w:t>he Labour Court also dealt with the extension of collective agreements to non-parties in terms of s 23(1)</w:t>
      </w:r>
      <w:r>
        <w:rPr>
          <w:i/>
        </w:rPr>
        <w:t>(d)</w:t>
      </w:r>
      <w:r>
        <w:t xml:space="preserve"> and the constitutionality of the section. It found that, where the employer had consulted with the majority unions as required by s 189(1)</w:t>
      </w:r>
      <w:r>
        <w:rPr>
          <w:i/>
        </w:rPr>
        <w:t>(a)-(c)</w:t>
      </w:r>
      <w:r>
        <w:t xml:space="preserve"> o</w:t>
      </w:r>
      <w:r>
        <w:t>f the LRA 1995 and entered into a retrenchment agreement with those unions, that collective agreement could be extended to nonparties in terms of s 23(1)</w:t>
      </w:r>
      <w:r>
        <w:rPr>
          <w:i/>
        </w:rPr>
        <w:t xml:space="preserve">(d). </w:t>
      </w:r>
      <w:r>
        <w:t>It was satisfied that neither s 23(1)</w:t>
      </w:r>
      <w:r>
        <w:rPr>
          <w:i/>
        </w:rPr>
        <w:t>(d)</w:t>
      </w:r>
      <w:r>
        <w:t xml:space="preserve"> nor s 189(1)</w:t>
      </w:r>
      <w:r>
        <w:rPr>
          <w:i/>
        </w:rPr>
        <w:t>(a)-(c)</w:t>
      </w:r>
      <w:r>
        <w:t xml:space="preserve"> infringed or violated the constitutio</w:t>
      </w:r>
      <w:r>
        <w:t>nal rights of members of non-party unions.</w:t>
      </w:r>
    </w:p>
    <w:p w:rsidR="003346BD" w:rsidRDefault="003346BD" w:rsidP="00DE6948">
      <w:pPr>
        <w:ind w:left="-567" w:right="-79" w:firstLine="0"/>
      </w:pPr>
    </w:p>
    <w:p w:rsidR="003346BD" w:rsidRDefault="003346BD" w:rsidP="003346BD">
      <w:pPr>
        <w:ind w:left="-567" w:right="-79" w:firstLine="0"/>
      </w:pPr>
      <w:r>
        <w:t xml:space="preserve">In </w:t>
      </w:r>
      <w:r>
        <w:rPr>
          <w:i/>
        </w:rPr>
        <w:t xml:space="preserve">Sasol Mining (Pty) Ltd v Association of Mineworkers &amp; Construction Union &amp; others </w:t>
      </w:r>
      <w:r>
        <w:t>(at 969) the Labour Court found that, in order for a collective agreement to be extended to non-parties, all the requirements of s 23(1)</w:t>
      </w:r>
      <w:r>
        <w:rPr>
          <w:i/>
        </w:rPr>
        <w:t>(d)</w:t>
      </w:r>
      <w:r>
        <w:t xml:space="preserve"> must be complied with; this includes that the agreement must expressly state that it binds the employees who are not members of the trade unions that are signatories to the agreement.</w:t>
      </w:r>
    </w:p>
    <w:p w:rsidR="003346BD" w:rsidRDefault="003346BD" w:rsidP="00DE6948">
      <w:pPr>
        <w:ind w:left="-567" w:right="-79" w:firstLine="0"/>
      </w:pPr>
    </w:p>
    <w:p w:rsidR="00DE6948" w:rsidRDefault="00DE6948" w:rsidP="00DE6948">
      <w:pPr>
        <w:ind w:left="-5" w:right="-79"/>
      </w:pPr>
    </w:p>
    <w:p w:rsidR="00DE6948" w:rsidRDefault="00DE6948">
      <w:pPr>
        <w:ind w:left="-5" w:right="496"/>
      </w:pPr>
    </w:p>
    <w:p w:rsidR="00DE6948" w:rsidRDefault="00DE6948">
      <w:pPr>
        <w:ind w:left="-5" w:right="496"/>
      </w:pPr>
    </w:p>
    <w:p w:rsidR="003346BD" w:rsidRDefault="003346BD">
      <w:pPr>
        <w:ind w:left="-5" w:right="496"/>
      </w:pPr>
    </w:p>
    <w:p w:rsidR="002D71D7" w:rsidRDefault="0015101A" w:rsidP="00DE6948">
      <w:pPr>
        <w:spacing w:after="246"/>
        <w:ind w:left="-567" w:right="1" w:firstLine="0"/>
      </w:pPr>
      <w:r>
        <w:t xml:space="preserve">In </w:t>
      </w:r>
      <w:r>
        <w:rPr>
          <w:i/>
        </w:rPr>
        <w:t xml:space="preserve">Vanachem Vanadium Products (Pty) Ltd v National Union of Metalworkers of SA on behalf of Members </w:t>
      </w:r>
      <w:r>
        <w:t xml:space="preserve">(at 926) the Labour Appeal Court found that, even where the business operations of the </w:t>
      </w:r>
      <w:r>
        <w:t>employer were excluded from the relevant bargaining council’s main agreement, the agreement was nonetheless binding on the employer and the union. This was so because the terms of the bargaining council agreement had been incorporated into the employment r</w:t>
      </w:r>
      <w:r>
        <w:t xml:space="preserve">elationship in terms of a collective agreement entered into between the employer and the union and </w:t>
      </w:r>
      <w:r w:rsidR="00DE6948">
        <w:t xml:space="preserve">various other objective factors </w:t>
      </w:r>
      <w:r>
        <w:t>which showed that the parties had regarded themselves as bound by the terms of the bargaining council agreement.</w:t>
      </w:r>
    </w:p>
    <w:p w:rsidR="002D71D7" w:rsidRDefault="0015101A" w:rsidP="00DE6948">
      <w:pPr>
        <w:spacing w:after="87" w:line="257" w:lineRule="auto"/>
        <w:ind w:left="-567" w:right="0" w:firstLine="0"/>
        <w:jc w:val="left"/>
      </w:pPr>
      <w:r>
        <w:rPr>
          <w:rFonts w:ascii="Arial" w:eastAsia="Arial" w:hAnsi="Arial" w:cs="Arial"/>
          <w:sz w:val="22"/>
        </w:rPr>
        <w:t xml:space="preserve">Dismissal — </w:t>
      </w:r>
      <w:r>
        <w:rPr>
          <w:rFonts w:ascii="Arial" w:eastAsia="Arial" w:hAnsi="Arial" w:cs="Arial"/>
          <w:sz w:val="22"/>
        </w:rPr>
        <w:t>Dishonesty</w:t>
      </w:r>
    </w:p>
    <w:p w:rsidR="002D71D7" w:rsidRDefault="0015101A" w:rsidP="00DE6948">
      <w:pPr>
        <w:ind w:left="-567" w:right="0" w:firstLine="0"/>
      </w:pPr>
      <w:r>
        <w:t xml:space="preserve">The Labour Appeal Court, in </w:t>
      </w:r>
      <w:r>
        <w:rPr>
          <w:i/>
        </w:rPr>
        <w:t xml:space="preserve">Schwartz v Sasol Polymers &amp; others </w:t>
      </w:r>
      <w:r>
        <w:t>(at 915), found that, where a senior employee had failed to disclose the receipt of gifts, sponsorships and money from service providers, this constituted serious misconduct. The employee had been obliged to act with honesty, diligence and good faith towar</w:t>
      </w:r>
      <w:r>
        <w:t xml:space="preserve">ds his employer, and the dishonest nature of his misconduct made continued employment intolerable. </w:t>
      </w:r>
    </w:p>
    <w:p w:rsidR="00DE6948" w:rsidRDefault="00DE6948">
      <w:pPr>
        <w:ind w:left="520" w:right="0"/>
      </w:pPr>
    </w:p>
    <w:p w:rsidR="002D71D7" w:rsidRDefault="0015101A" w:rsidP="00DE6948">
      <w:pPr>
        <w:ind w:left="-567" w:right="0" w:firstLine="0"/>
      </w:pPr>
      <w:r>
        <w:t xml:space="preserve">Similarly, in </w:t>
      </w:r>
      <w:r>
        <w:rPr>
          <w:i/>
        </w:rPr>
        <w:t xml:space="preserve">Bidserv Industrial Products (Pty) Ltd v Commission for Conciliation, Mediation &amp; Arbitration &amp; others </w:t>
      </w:r>
      <w:r>
        <w:t>(at 860), the Labour Appeal Court confi</w:t>
      </w:r>
      <w:r>
        <w:t xml:space="preserve">rmed that dishonesty is serious misconduct which destroys the substratum of the employment relationship. And in </w:t>
      </w:r>
      <w:r>
        <w:rPr>
          <w:i/>
        </w:rPr>
        <w:t xml:space="preserve">Impala Platinum Ltd v Jansen &amp; others </w:t>
      </w:r>
      <w:r>
        <w:t>(at 896) the court confirmed that gross misconduct goes to the root of the employment relationship and tha</w:t>
      </w:r>
      <w:r>
        <w:t>t, where an employee is found guilty of gross misconduct, it is not necessary to lead evidence pertaining to a breakdown in the trust relationship as an employer cannot be expected to retain a delinquent employee in its employ.</w:t>
      </w:r>
    </w:p>
    <w:p w:rsidR="00DE6948" w:rsidRDefault="00DE6948">
      <w:pPr>
        <w:ind w:left="520" w:right="0"/>
      </w:pPr>
    </w:p>
    <w:p w:rsidR="002D71D7" w:rsidRDefault="0015101A" w:rsidP="00DE6948">
      <w:pPr>
        <w:spacing w:after="246"/>
        <w:ind w:left="-567" w:right="0" w:firstLine="0"/>
      </w:pPr>
      <w:r>
        <w:t>The Labour Appeal Court uph</w:t>
      </w:r>
      <w:r>
        <w:t>eld the dismissal of an employee who had failed to disclose two criminal convictions in his application for employment. It found that the deliberate concealment of the true facts constituted dishonesty and that the fact that a long time had elapsed after t</w:t>
      </w:r>
      <w:r>
        <w:t>he non-disclosure did not negate the seriousness of the misconduct (</w:t>
      </w:r>
      <w:r>
        <w:rPr>
          <w:i/>
        </w:rPr>
        <w:t xml:space="preserve">G4S Secure Solutions (SA) (Pty) Ltd v Ruggiero NO &amp; others </w:t>
      </w:r>
      <w:r>
        <w:t>at 881).</w:t>
      </w:r>
    </w:p>
    <w:p w:rsidR="002D71D7" w:rsidRDefault="0015101A" w:rsidP="00DE6948">
      <w:pPr>
        <w:spacing w:after="87" w:line="257" w:lineRule="auto"/>
        <w:ind w:left="-567" w:right="0" w:firstLine="0"/>
        <w:jc w:val="left"/>
      </w:pPr>
      <w:r>
        <w:rPr>
          <w:rFonts w:ascii="Arial" w:eastAsia="Arial" w:hAnsi="Arial" w:cs="Arial"/>
          <w:sz w:val="22"/>
        </w:rPr>
        <w:t>Dismissal — Poor Work Performance</w:t>
      </w:r>
    </w:p>
    <w:p w:rsidR="002D71D7" w:rsidRDefault="0015101A" w:rsidP="00DE6948">
      <w:pPr>
        <w:ind w:left="-567" w:right="1" w:firstLine="0"/>
      </w:pPr>
      <w:r>
        <w:t>Where an employer had been dismissed for failure to meet a stipulated target, the Labo</w:t>
      </w:r>
      <w:r>
        <w:t>ur Appeal Court found that the period which had been set to meet the target had been too short or the target has been incapable of being achieved. It was clear that the employee had been set up to fail and his dismissal for poor work performance was theref</w:t>
      </w:r>
      <w:r>
        <w:t>ore unfair (</w:t>
      </w:r>
      <w:r>
        <w:rPr>
          <w:i/>
        </w:rPr>
        <w:t xml:space="preserve">Damelin (Pty) Ltd v Solidarity on behalf of Parkinson &amp; others </w:t>
      </w:r>
      <w:r>
        <w:t>at 872).</w:t>
      </w:r>
    </w:p>
    <w:p w:rsidR="003346BD" w:rsidRDefault="003346BD">
      <w:pPr>
        <w:spacing w:after="87" w:line="257" w:lineRule="auto"/>
        <w:ind w:left="-5" w:right="0"/>
        <w:jc w:val="left"/>
        <w:rPr>
          <w:rFonts w:ascii="Arial" w:eastAsia="Arial" w:hAnsi="Arial" w:cs="Arial"/>
          <w:sz w:val="22"/>
        </w:rPr>
      </w:pPr>
    </w:p>
    <w:p w:rsidR="002D71D7" w:rsidRDefault="0015101A" w:rsidP="003346BD">
      <w:pPr>
        <w:spacing w:after="87" w:line="257" w:lineRule="auto"/>
        <w:ind w:left="-567" w:right="0" w:firstLine="0"/>
        <w:jc w:val="left"/>
      </w:pPr>
      <w:r>
        <w:rPr>
          <w:rFonts w:ascii="Arial" w:eastAsia="Arial" w:hAnsi="Arial" w:cs="Arial"/>
          <w:sz w:val="22"/>
        </w:rPr>
        <w:t>Disciplinary Penalty — Interference in Penalty Handed Down by Chairperson</w:t>
      </w:r>
    </w:p>
    <w:p w:rsidR="002D71D7" w:rsidRDefault="0015101A" w:rsidP="003346BD">
      <w:pPr>
        <w:spacing w:after="244"/>
        <w:ind w:left="-567" w:right="62" w:firstLine="0"/>
      </w:pPr>
      <w:r>
        <w:t xml:space="preserve">In </w:t>
      </w:r>
      <w:r>
        <w:rPr>
          <w:i/>
        </w:rPr>
        <w:t xml:space="preserve">Moshoeshoe and Neotel (Pty) Ltd (2) </w:t>
      </w:r>
      <w:r>
        <w:t>(at 986) the employer had changed the penalty of a final wr</w:t>
      </w:r>
      <w:r>
        <w:t>itten warning imposed by the disciplinary chairperson to dismissal. Relying on recent Constitutional Court authority, the CCMA commissioner confirmed that the employer was not allowed to interfere in the outcome of a disciplinary enquiry where the chairper</w:t>
      </w:r>
      <w:r>
        <w:t>son had final decision-making power. Although the commissioner found that the sanction of dismissal was harsh in the circumstances, in the exercise of his discretion, he declined to reinstate the employee as it was clear that the employment relationship ha</w:t>
      </w:r>
      <w:r>
        <w:t>d become intolerable.</w:t>
      </w:r>
    </w:p>
    <w:p w:rsidR="003346BD" w:rsidRDefault="003346BD" w:rsidP="003346BD">
      <w:pPr>
        <w:spacing w:after="244"/>
        <w:ind w:left="-567" w:right="62" w:firstLine="0"/>
      </w:pPr>
    </w:p>
    <w:p w:rsidR="003346BD" w:rsidRDefault="003346BD" w:rsidP="003346BD">
      <w:pPr>
        <w:spacing w:after="244"/>
        <w:ind w:left="-567" w:right="62" w:firstLine="0"/>
      </w:pPr>
    </w:p>
    <w:p w:rsidR="002D71D7" w:rsidRDefault="0015101A" w:rsidP="003346BD">
      <w:pPr>
        <w:spacing w:after="87" w:line="257" w:lineRule="auto"/>
        <w:ind w:left="-567" w:right="0" w:firstLine="0"/>
        <w:jc w:val="left"/>
      </w:pPr>
      <w:r>
        <w:rPr>
          <w:rFonts w:ascii="Arial" w:eastAsia="Arial" w:hAnsi="Arial" w:cs="Arial"/>
          <w:sz w:val="22"/>
        </w:rPr>
        <w:t>Unfair Labour Practices — Promotion and Demotion</w:t>
      </w:r>
    </w:p>
    <w:p w:rsidR="002D71D7" w:rsidRDefault="0015101A" w:rsidP="003346BD">
      <w:pPr>
        <w:ind w:left="-567" w:right="62" w:firstLine="0"/>
      </w:pPr>
      <w:r>
        <w:t>A public service employer had failed to apply its own advertised requirements when promoting a candidate who did not fulfil the requirements. The Labour Appeal Court found that the proc</w:t>
      </w:r>
      <w:r>
        <w:t>ess had been flawed by the selection of a candidate who did not meet the advertised requirements and her appointment constituted an unfair labour practice in relation to the applicants who met the requirements (</w:t>
      </w:r>
      <w:r>
        <w:rPr>
          <w:i/>
        </w:rPr>
        <w:t xml:space="preserve">Health &amp; Other Service Personnel Trade Union </w:t>
      </w:r>
      <w:r>
        <w:rPr>
          <w:i/>
        </w:rPr>
        <w:t xml:space="preserve">of SA &amp; others v Member of the Executive Council for Health, Eastern Cape &amp; others </w:t>
      </w:r>
      <w:r>
        <w:t>at 890).</w:t>
      </w:r>
    </w:p>
    <w:p w:rsidR="003346BD" w:rsidRDefault="003346BD" w:rsidP="003346BD">
      <w:pPr>
        <w:ind w:left="-567" w:right="62" w:firstLine="0"/>
      </w:pPr>
    </w:p>
    <w:p w:rsidR="002D71D7" w:rsidRDefault="0015101A" w:rsidP="003346BD">
      <w:pPr>
        <w:ind w:left="-567" w:right="62" w:firstLine="0"/>
      </w:pPr>
      <w:r>
        <w:t xml:space="preserve">In </w:t>
      </w:r>
      <w:r>
        <w:rPr>
          <w:i/>
        </w:rPr>
        <w:t xml:space="preserve">Ncane v Lyster NO &amp; others </w:t>
      </w:r>
      <w:r>
        <w:t>(at 907) the Labour Appeal Court confirmed that a bargaining council arbitrator can only interfere with an employer’s decision to pro</w:t>
      </w:r>
      <w:r>
        <w:t>mote where the decision is irrational, grossly unreasonable or mala fide.</w:t>
      </w:r>
    </w:p>
    <w:p w:rsidR="003346BD" w:rsidRDefault="003346BD" w:rsidP="003346BD">
      <w:pPr>
        <w:ind w:left="-567" w:right="496" w:firstLine="0"/>
      </w:pPr>
    </w:p>
    <w:p w:rsidR="002D71D7" w:rsidRDefault="0015101A" w:rsidP="003346BD">
      <w:pPr>
        <w:spacing w:after="244"/>
        <w:ind w:left="-567" w:right="62" w:firstLine="0"/>
      </w:pPr>
      <w:r>
        <w:t xml:space="preserve"> In </w:t>
      </w:r>
      <w:r>
        <w:rPr>
          <w:i/>
        </w:rPr>
        <w:t xml:space="preserve">Moshoeshoe and Neotel (Pty) Ltd (1) </w:t>
      </w:r>
      <w:r>
        <w:t xml:space="preserve">(at 977) a CCMA commissioner confirmed that disputes about transfers are not dealt with specifically in the LRA 1995 and cannot be arbitrated </w:t>
      </w:r>
      <w:r>
        <w:t>unless the transfer impacts on the provision of benefits, amounts to a demotion, is imposed as a disciplinary penalty short of dismissal, or results in a constructive dismissal. In this matter the employee failed to adduce evidence that showed that his tra</w:t>
      </w:r>
      <w:r>
        <w:t>nsfer constituted a demotion.</w:t>
      </w:r>
    </w:p>
    <w:p w:rsidR="002D71D7" w:rsidRDefault="0015101A" w:rsidP="003346BD">
      <w:pPr>
        <w:spacing w:after="87" w:line="257" w:lineRule="auto"/>
        <w:ind w:left="-567" w:right="0" w:firstLine="0"/>
        <w:jc w:val="left"/>
      </w:pPr>
      <w:r>
        <w:rPr>
          <w:rFonts w:ascii="Arial" w:eastAsia="Arial" w:hAnsi="Arial" w:cs="Arial"/>
          <w:sz w:val="22"/>
        </w:rPr>
        <w:t>Employee or Independent Contractor</w:t>
      </w:r>
    </w:p>
    <w:p w:rsidR="002D71D7" w:rsidRDefault="0015101A" w:rsidP="003346BD">
      <w:pPr>
        <w:ind w:left="-567" w:right="62" w:firstLine="0"/>
      </w:pPr>
      <w:r>
        <w:t xml:space="preserve">In </w:t>
      </w:r>
      <w:r>
        <w:rPr>
          <w:i/>
        </w:rPr>
        <w:t xml:space="preserve">Minter-Brown and Kagiso Media t/a East Coast Radio </w:t>
      </w:r>
      <w:r>
        <w:t>(at 1006) a private arbitrator relied on the applicable legal principles and case law to determine whether the relationship between the c</w:t>
      </w:r>
      <w:r>
        <w:t>laimant and the radio station was that of master and servant or an independent contractor. He found, inter alia, that although the parties termed the relationship as one of independent contractor, it was clear that the relationship was genuinely one of mas</w:t>
      </w:r>
      <w:r>
        <w:t>ter and servant, and that the claimant was therefore an employee of the radio station.</w:t>
      </w:r>
    </w:p>
    <w:p w:rsidR="003346BD" w:rsidRDefault="003346BD">
      <w:pPr>
        <w:ind w:left="-5" w:right="496"/>
      </w:pPr>
    </w:p>
    <w:p w:rsidR="002D71D7" w:rsidRDefault="0015101A" w:rsidP="003346BD">
      <w:pPr>
        <w:spacing w:after="87" w:line="257" w:lineRule="auto"/>
        <w:ind w:left="-567" w:right="0" w:firstLine="0"/>
        <w:jc w:val="left"/>
      </w:pPr>
      <w:r>
        <w:rPr>
          <w:rFonts w:ascii="Arial" w:eastAsia="Arial" w:hAnsi="Arial" w:cs="Arial"/>
          <w:sz w:val="22"/>
        </w:rPr>
        <w:t>Public Service — Temporary Incapacity Leave</w:t>
      </w:r>
    </w:p>
    <w:p w:rsidR="002D71D7" w:rsidRDefault="0015101A" w:rsidP="003346BD">
      <w:pPr>
        <w:spacing w:after="230"/>
        <w:ind w:left="-567" w:right="0" w:firstLine="0"/>
      </w:pPr>
      <w:r>
        <w:t xml:space="preserve">The Department of Correctional Services failed to respond to an employee’s application for temporary incapacity leave within </w:t>
      </w:r>
      <w:r>
        <w:t>30 days as required by the department’s own policy, and later commenced deductions from the employee’s salary to recover the amount owed for the unapproved portion of sick-leave taken by the employee. In an application to declare the deductions unlawful, t</w:t>
      </w:r>
      <w:r>
        <w:t>he Labour Court found that the department’s failure to respond to the application for temporary incapacity leave within the time set out in its policy did not translate into an entitlement to sickleave. The department was therefore entitled to claim back t</w:t>
      </w:r>
      <w:r>
        <w:t>he amount it had conditionally paid to the employee while his application for sickleave was being assessed (</w:t>
      </w:r>
      <w:r>
        <w:rPr>
          <w:i/>
        </w:rPr>
        <w:t xml:space="preserve">Police &amp; Prisons Civil Rights Union &amp; another v Department of Correctional Services &amp; another </w:t>
      </w:r>
      <w:r>
        <w:t>at 964).</w:t>
      </w:r>
    </w:p>
    <w:p w:rsidR="003346BD" w:rsidRDefault="003346BD" w:rsidP="003346BD">
      <w:pPr>
        <w:spacing w:after="230"/>
        <w:ind w:left="-567" w:right="0" w:firstLine="0"/>
      </w:pPr>
      <w:bookmarkStart w:id="0" w:name="_GoBack"/>
      <w:bookmarkEnd w:id="0"/>
    </w:p>
    <w:p w:rsidR="002D71D7" w:rsidRDefault="0015101A" w:rsidP="003346BD">
      <w:pPr>
        <w:spacing w:after="34" w:line="259" w:lineRule="auto"/>
        <w:ind w:left="-567" w:right="0" w:firstLine="0"/>
        <w:jc w:val="left"/>
      </w:pPr>
      <w:r>
        <w:rPr>
          <w:i/>
        </w:rPr>
        <w:t>Quote of the Month:</w:t>
      </w:r>
    </w:p>
    <w:p w:rsidR="002D71D7" w:rsidRDefault="0015101A" w:rsidP="003346BD">
      <w:pPr>
        <w:ind w:left="-567" w:right="496" w:firstLine="0"/>
      </w:pPr>
      <w:r>
        <w:t>Not awarded.</w:t>
      </w:r>
    </w:p>
    <w:sectPr w:rsidR="002D71D7" w:rsidSect="003346BD">
      <w:headerReference w:type="even" r:id="rId8"/>
      <w:headerReference w:type="default" r:id="rId9"/>
      <w:footerReference w:type="even" r:id="rId10"/>
      <w:footerReference w:type="default" r:id="rId11"/>
      <w:headerReference w:type="first" r:id="rId12"/>
      <w:footerReference w:type="first" r:id="rId13"/>
      <w:pgSz w:w="9741" w:h="15127"/>
      <w:pgMar w:top="170" w:right="952" w:bottom="1276" w:left="1497"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01A" w:rsidRDefault="0015101A">
      <w:pPr>
        <w:spacing w:after="0" w:line="240" w:lineRule="auto"/>
      </w:pPr>
      <w:r>
        <w:separator/>
      </w:r>
    </w:p>
  </w:endnote>
  <w:endnote w:type="continuationSeparator" w:id="0">
    <w:p w:rsidR="0015101A" w:rsidRDefault="0015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1D7" w:rsidRDefault="0015101A">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2946" name="Group 2946"/>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947" name="Shape 2947"/>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48" name="Shape 2948"/>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49" name="Shape 2949"/>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50" name="Shape 2950"/>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46" style="width:29.5039pt;height:29.5038pt;position:absolute;mso-position-horizontal-relative:page;mso-position-horizontal:absolute;margin-left:0pt;mso-position-vertical-relative:page;margin-top:726.827pt;" coordsize="3747,3746">
              <v:shape id="Shape 2947" style="position:absolute;width:1905;height:0;left:1080;top:0;" coordsize="190500,0" path="m190500,0l0,0">
                <v:stroke weight="0.25pt" endcap="flat" joinstyle="miter" miterlimit="10" on="true" color="#000000"/>
                <v:fill on="false" color="#000000" opacity="0"/>
              </v:shape>
              <v:shape id="Shape 2948" style="position:absolute;width:0;height:1905;left:3747;top:762;" coordsize="0,190500" path="m0,0l0,190500">
                <v:stroke weight="0.25pt" endcap="flat" joinstyle="miter" miterlimit="10" on="true" color="#000000"/>
                <v:fill on="false" color="#000000" opacity="0"/>
              </v:shape>
              <v:shape id="Shape 2949" style="position:absolute;width:0;height:2285;left:2667;top:1461;" coordsize="0,228596" path="m0,228596l0,0">
                <v:stroke weight="0.25pt" endcap="flat" joinstyle="miter" miterlimit="10" on="true" color="#000000"/>
                <v:fill on="false" color="#000000" opacity="0"/>
              </v:shape>
              <v:shape id="Shape 2950"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2951" name="Group 2951"/>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952" name="Shape 295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53" name="Shape 2953"/>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54" name="Shape 2954"/>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55" name="Shape 2955"/>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51" style="width:29.5041pt;height:29.5038pt;position:absolute;mso-position-horizontal-relative:page;mso-position-horizontal:absolute;margin-left:457.535pt;mso-position-vertical-relative:page;margin-top:726.827pt;" coordsize="3747,3746">
              <v:shape id="Shape 2952" style="position:absolute;width:1905;height:0;left:762;top:0;" coordsize="190500,0" path="m0,0l190500,0">
                <v:stroke weight="0.25pt" endcap="flat" joinstyle="miter" miterlimit="10" on="true" color="#000000"/>
                <v:fill on="false" color="#000000" opacity="0"/>
              </v:shape>
              <v:shape id="Shape 2953" style="position:absolute;width:0;height:1905;left:0;top:762;" coordsize="0,190500" path="m0,0l0,190500">
                <v:stroke weight="0.25pt" endcap="flat" joinstyle="miter" miterlimit="10" on="true" color="#000000"/>
                <v:fill on="false" color="#000000" opacity="0"/>
              </v:shape>
              <v:shape id="Shape 2954" style="position:absolute;width:0;height:2285;left:1080;top:1461;" coordsize="0,228596" path="m0,228596l0,0">
                <v:stroke weight="0.25pt" endcap="flat" joinstyle="miter" miterlimit="10" on="true" color="#000000"/>
                <v:fill on="false" color="#000000" opacity="0"/>
              </v:shape>
              <v:shape id="Shape 2955"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1D7" w:rsidRDefault="0015101A">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2918" name="Group 2918"/>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919" name="Shape 2919"/>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20" name="Shape 2920"/>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21" name="Shape 2921"/>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22" name="Shape 2922"/>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8" style="width:29.5039pt;height:29.5038pt;position:absolute;mso-position-horizontal-relative:page;mso-position-horizontal:absolute;margin-left:0pt;mso-position-vertical-relative:page;margin-top:726.827pt;" coordsize="3747,3746">
              <v:shape id="Shape 2919" style="position:absolute;width:1905;height:0;left:1080;top:0;" coordsize="190500,0" path="m190500,0l0,0">
                <v:stroke weight="0.25pt" endcap="flat" joinstyle="miter" miterlimit="10" on="true" color="#000000"/>
                <v:fill on="false" color="#000000" opacity="0"/>
              </v:shape>
              <v:shape id="Shape 2920" style="position:absolute;width:0;height:1905;left:3747;top:762;" coordsize="0,190500" path="m0,0l0,190500">
                <v:stroke weight="0.25pt" endcap="flat" joinstyle="miter" miterlimit="10" on="true" color="#000000"/>
                <v:fill on="false" color="#000000" opacity="0"/>
              </v:shape>
              <v:shape id="Shape 2921" style="position:absolute;width:0;height:2285;left:2667;top:1461;" coordsize="0,228596" path="m0,228596l0,0">
                <v:stroke weight="0.25pt" endcap="flat" joinstyle="miter" miterlimit="10" on="true" color="#000000"/>
                <v:fill on="false" color="#000000" opacity="0"/>
              </v:shape>
              <v:shape id="Shape 2922"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2923" name="Group 2923"/>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924" name="Shape 2924"/>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25" name="Shape 2925"/>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26" name="Shape 2926"/>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27" name="Shape 2927"/>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23" style="width:29.5041pt;height:29.5038pt;position:absolute;mso-position-horizontal-relative:page;mso-position-horizontal:absolute;margin-left:457.535pt;mso-position-vertical-relative:page;margin-top:726.827pt;" coordsize="3747,3746">
              <v:shape id="Shape 2924" style="position:absolute;width:1905;height:0;left:762;top:0;" coordsize="190500,0" path="m0,0l190500,0">
                <v:stroke weight="0.25pt" endcap="flat" joinstyle="miter" miterlimit="10" on="true" color="#000000"/>
                <v:fill on="false" color="#000000" opacity="0"/>
              </v:shape>
              <v:shape id="Shape 2925" style="position:absolute;width:0;height:1905;left:0;top:762;" coordsize="0,190500" path="m0,0l0,190500">
                <v:stroke weight="0.25pt" endcap="flat" joinstyle="miter" miterlimit="10" on="true" color="#000000"/>
                <v:fill on="false" color="#000000" opacity="0"/>
              </v:shape>
              <v:shape id="Shape 2926" style="position:absolute;width:0;height:2285;left:1080;top:1461;" coordsize="0,228596" path="m0,228596l0,0">
                <v:stroke weight="0.25pt" endcap="flat" joinstyle="miter" miterlimit="10" on="true" color="#000000"/>
                <v:fill on="false" color="#000000" opacity="0"/>
              </v:shape>
              <v:shape id="Shape 2927"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3346BD">
      <w:rPr>
        <w:noProof/>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1D7" w:rsidRDefault="0015101A">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2890" name="Group 2890"/>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891" name="Shape 2891"/>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92" name="Shape 2892"/>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93" name="Shape 2893"/>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94" name="Shape 2894"/>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90" style="width:29.5039pt;height:29.5038pt;position:absolute;mso-position-horizontal-relative:page;mso-position-horizontal:absolute;margin-left:0pt;mso-position-vertical-relative:page;margin-top:726.827pt;" coordsize="3747,3746">
              <v:shape id="Shape 2891" style="position:absolute;width:1905;height:0;left:1080;top:0;" coordsize="190500,0" path="m190500,0l0,0">
                <v:stroke weight="0.25pt" endcap="flat" joinstyle="miter" miterlimit="10" on="true" color="#000000"/>
                <v:fill on="false" color="#000000" opacity="0"/>
              </v:shape>
              <v:shape id="Shape 2892" style="position:absolute;width:0;height:1905;left:3747;top:762;" coordsize="0,190500" path="m0,0l0,190500">
                <v:stroke weight="0.25pt" endcap="flat" joinstyle="miter" miterlimit="10" on="true" color="#000000"/>
                <v:fill on="false" color="#000000" opacity="0"/>
              </v:shape>
              <v:shape id="Shape 2893" style="position:absolute;width:0;height:2285;left:2667;top:1461;" coordsize="0,228596" path="m0,228596l0,0">
                <v:stroke weight="0.25pt" endcap="flat" joinstyle="miter" miterlimit="10" on="true" color="#000000"/>
                <v:fill on="false" color="#000000" opacity="0"/>
              </v:shape>
              <v:shape id="Shape 2894"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2895" name="Group 2895"/>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896" name="Shape 2896"/>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97" name="Shape 2897"/>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98" name="Shape 2898"/>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99" name="Shape 2899"/>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95" style="width:29.5041pt;height:29.5038pt;position:absolute;mso-position-horizontal-relative:page;mso-position-horizontal:absolute;margin-left:457.535pt;mso-position-vertical-relative:page;margin-top:726.827pt;" coordsize="3747,3746">
              <v:shape id="Shape 2896" style="position:absolute;width:1905;height:0;left:762;top:0;" coordsize="190500,0" path="m0,0l190500,0">
                <v:stroke weight="0.25pt" endcap="flat" joinstyle="miter" miterlimit="10" on="true" color="#000000"/>
                <v:fill on="false" color="#000000" opacity="0"/>
              </v:shape>
              <v:shape id="Shape 2897" style="position:absolute;width:0;height:1905;left:0;top:762;" coordsize="0,190500" path="m0,0l0,190500">
                <v:stroke weight="0.25pt" endcap="flat" joinstyle="miter" miterlimit="10" on="true" color="#000000"/>
                <v:fill on="false" color="#000000" opacity="0"/>
              </v:shape>
              <v:shape id="Shape 2898" style="position:absolute;width:0;height:2285;left:1080;top:1461;" coordsize="0,228596" path="m0,228596l0,0">
                <v:stroke weight="0.25pt" endcap="flat" joinstyle="miter" miterlimit="10" on="true" color="#000000"/>
                <v:fill on="false" color="#000000" opacity="0"/>
              </v:shape>
              <v:shape id="Shape 2899"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01A" w:rsidRDefault="0015101A">
      <w:pPr>
        <w:spacing w:after="0" w:line="240" w:lineRule="auto"/>
      </w:pPr>
      <w:r>
        <w:separator/>
      </w:r>
    </w:p>
  </w:footnote>
  <w:footnote w:type="continuationSeparator" w:id="0">
    <w:p w:rsidR="0015101A" w:rsidRDefault="0015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1D7" w:rsidRDefault="0015101A">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2932" name="Group 2932"/>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933" name="Shape 2933"/>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34" name="Shape 2934"/>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35" name="Shape 2935"/>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36" name="Shape 2936"/>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32" style="width:29.5039pt;height:29.5039pt;position:absolute;mso-position-horizontal-relative:page;mso-position-horizontal:absolute;margin-left:0pt;mso-position-vertical-relative:page;margin-top:0.000305176pt;" coordsize="3747,3747">
              <v:shape id="Shape 2933" style="position:absolute;width:1905;height:0;left:1080;top:3747;" coordsize="190500,0" path="m190500,0l0,0">
                <v:stroke weight="0.25pt" endcap="flat" joinstyle="miter" miterlimit="10" on="true" color="#000000"/>
                <v:fill on="false" color="#000000" opacity="0"/>
              </v:shape>
              <v:shape id="Shape 2934" style="position:absolute;width:0;height:1905;left:3747;top:1080;" coordsize="0,190500" path="m0,190500l0,0">
                <v:stroke weight="0.25pt" endcap="flat" joinstyle="miter" miterlimit="10" on="true" color="#000000"/>
                <v:fill on="false" color="#000000" opacity="0"/>
              </v:shape>
              <v:shape id="Shape 2935" style="position:absolute;width:2286;height:0;left:0;top:2667;" coordsize="228600,0" path="m228600,0l0,0">
                <v:stroke weight="0.25pt" endcap="flat" joinstyle="miter" miterlimit="10" on="true" color="#000000"/>
                <v:fill on="false" color="#000000" opacity="0"/>
              </v:shape>
              <v:shape id="Shape 2936"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2937" name="Group 2937"/>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938" name="Shape 2938"/>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39" name="Shape 2939"/>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37" style="width:21pt;height:21pt;position:absolute;mso-position-horizontal-relative:page;mso-position-horizontal:absolute;margin-left:466.039pt;mso-position-vertical-relative:page;margin-top:0.000305176pt;" coordsize="2667,2667">
              <v:shape id="Shape 2938" style="position:absolute;width:2286;height:0;left:381;top:2667;" coordsize="228600,0" path="m228600,0l0,0">
                <v:stroke weight="0.25pt" endcap="flat" joinstyle="miter" miterlimit="10" on="true" color="#000000"/>
                <v:fill on="false" color="#000000" opacity="0"/>
              </v:shape>
              <v:shape id="Shape 2939"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1D7" w:rsidRDefault="0015101A">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2904" name="Group 2904"/>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905" name="Shape 2905"/>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06" name="Shape 2906"/>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07" name="Shape 2907"/>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08" name="Shape 2908"/>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04" style="width:29.5039pt;height:29.5039pt;position:absolute;mso-position-horizontal-relative:page;mso-position-horizontal:absolute;margin-left:0pt;mso-position-vertical-relative:page;margin-top:0.000305176pt;" coordsize="3747,3747">
              <v:shape id="Shape 2905" style="position:absolute;width:1905;height:0;left:1080;top:3747;" coordsize="190500,0" path="m190500,0l0,0">
                <v:stroke weight="0.25pt" endcap="flat" joinstyle="miter" miterlimit="10" on="true" color="#000000"/>
                <v:fill on="false" color="#000000" opacity="0"/>
              </v:shape>
              <v:shape id="Shape 2906" style="position:absolute;width:0;height:1905;left:3747;top:1080;" coordsize="0,190500" path="m0,190500l0,0">
                <v:stroke weight="0.25pt" endcap="flat" joinstyle="miter" miterlimit="10" on="true" color="#000000"/>
                <v:fill on="false" color="#000000" opacity="0"/>
              </v:shape>
              <v:shape id="Shape 2907" style="position:absolute;width:2286;height:0;left:0;top:2667;" coordsize="228600,0" path="m228600,0l0,0">
                <v:stroke weight="0.25pt" endcap="flat" joinstyle="miter" miterlimit="10" on="true" color="#000000"/>
                <v:fill on="false" color="#000000" opacity="0"/>
              </v:shape>
              <v:shape id="Shape 2908"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2909" name="Group 2909"/>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910" name="Shape 2910"/>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11" name="Shape 2911"/>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09" style="width:21pt;height:21pt;position:absolute;mso-position-horizontal-relative:page;mso-position-horizontal:absolute;margin-left:466.039pt;mso-position-vertical-relative:page;margin-top:0.000305176pt;" coordsize="2667,2667">
              <v:shape id="Shape 2910" style="position:absolute;width:2286;height:0;left:381;top:2667;" coordsize="228600,0" path="m228600,0l0,0">
                <v:stroke weight="0.25pt" endcap="flat" joinstyle="miter" miterlimit="10" on="true" color="#000000"/>
                <v:fill on="false" color="#000000" opacity="0"/>
              </v:shape>
              <v:shape id="Shape 2911"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1D7" w:rsidRDefault="0015101A">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2876" name="Group 2876"/>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877" name="Shape 2877"/>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78" name="Shape 2878"/>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79" name="Shape 2879"/>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80" name="Shape 2880"/>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76" style="width:29.5039pt;height:29.5039pt;position:absolute;mso-position-horizontal-relative:page;mso-position-horizontal:absolute;margin-left:0pt;mso-position-vertical-relative:page;margin-top:0.000305176pt;" coordsize="3747,3747">
              <v:shape id="Shape 2877" style="position:absolute;width:1905;height:0;left:1080;top:3747;" coordsize="190500,0" path="m190500,0l0,0">
                <v:stroke weight="0.25pt" endcap="flat" joinstyle="miter" miterlimit="10" on="true" color="#000000"/>
                <v:fill on="false" color="#000000" opacity="0"/>
              </v:shape>
              <v:shape id="Shape 2878" style="position:absolute;width:0;height:1905;left:3747;top:1080;" coordsize="0,190500" path="m0,190500l0,0">
                <v:stroke weight="0.25pt" endcap="flat" joinstyle="miter" miterlimit="10" on="true" color="#000000"/>
                <v:fill on="false" color="#000000" opacity="0"/>
              </v:shape>
              <v:shape id="Shape 2879" style="position:absolute;width:2286;height:0;left:0;top:2667;" coordsize="228600,0" path="m228600,0l0,0">
                <v:stroke weight="0.25pt" endcap="flat" joinstyle="miter" miterlimit="10" on="true" color="#000000"/>
                <v:fill on="false" color="#000000" opacity="0"/>
              </v:shape>
              <v:shape id="Shape 2880"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2881" name="Group 2881"/>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82" name="Shape 2882"/>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83" name="Shape 2883"/>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81" style="width:21pt;height:21pt;position:absolute;mso-position-horizontal-relative:page;mso-position-horizontal:absolute;margin-left:466.039pt;mso-position-vertical-relative:page;margin-top:0.000305176pt;" coordsize="2667,2667">
              <v:shape id="Shape 2882" style="position:absolute;width:2286;height:0;left:381;top:2667;" coordsize="228600,0" path="m228600,0l0,0">
                <v:stroke weight="0.25pt" endcap="flat" joinstyle="miter" miterlimit="10" on="true" color="#000000"/>
                <v:fill on="false" color="#000000" opacity="0"/>
              </v:shape>
              <v:shape id="Shape 2883"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D7"/>
    <w:rsid w:val="0015101A"/>
    <w:rsid w:val="002D71D7"/>
    <w:rsid w:val="003346BD"/>
    <w:rsid w:val="00DE69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4F03"/>
  <w15:docId w15:val="{26F4FA7D-B591-4768-BDB2-EF6F1F43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right="510"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0.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Juta and Company Pty Ltd.</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2017-03-23T08:27:00Z</dcterms:created>
  <dcterms:modified xsi:type="dcterms:W3CDTF">2017-03-23T08:27:00Z</dcterms:modified>
</cp:coreProperties>
</file>