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A4BA8">
      <w:pPr>
        <w:pStyle w:val="Default"/>
        <w:framePr w:w="9730" w:wrap="auto" w:vAnchor="page" w:hAnchor="page" w:x="321" w:y="416"/>
        <w:spacing w:after="3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57.25pt;mso-position-vertical:absolute">
            <v:imagedata r:id="rId4" o:title=""/>
          </v:shape>
        </w:pict>
      </w:r>
    </w:p>
    <w:p w:rsidR="00000000" w:rsidRDefault="00BA4BA8">
      <w:pPr>
        <w:pStyle w:val="CM4"/>
        <w:spacing w:after="120"/>
        <w:jc w:val="both"/>
        <w:rPr>
          <w:rFonts w:cs="Helvetica LT Std"/>
          <w:color w:val="221E1F"/>
          <w:sz w:val="22"/>
          <w:szCs w:val="22"/>
        </w:rPr>
      </w:pPr>
      <w:r>
        <w:rPr>
          <w:rFonts w:cs="Helvetica LT Std"/>
          <w:color w:val="221E1F"/>
          <w:sz w:val="22"/>
          <w:szCs w:val="22"/>
        </w:rPr>
        <w:t xml:space="preserve">Reinstatement </w:t>
      </w:r>
    </w:p>
    <w:p w:rsidR="00000000" w:rsidRDefault="00BA4BA8">
      <w:pPr>
        <w:pStyle w:val="CM5"/>
        <w:spacing w:after="230" w:line="246" w:lineRule="atLeast"/>
        <w:jc w:val="both"/>
        <w:rPr>
          <w:rFonts w:ascii="Bembo Std" w:hAnsi="Bembo Std" w:cs="Bembo Std"/>
          <w:color w:val="221E1F"/>
          <w:sz w:val="21"/>
          <w:szCs w:val="21"/>
        </w:rPr>
      </w:pPr>
      <w:r>
        <w:rPr>
          <w:rFonts w:ascii="Bembo Std" w:hAnsi="Bembo Std" w:cs="Bembo Std"/>
          <w:color w:val="221E1F"/>
          <w:sz w:val="21"/>
          <w:szCs w:val="21"/>
        </w:rPr>
        <w:t xml:space="preserve">In </w:t>
      </w:r>
      <w:r>
        <w:rPr>
          <w:rFonts w:ascii="Bembo Std" w:hAnsi="Bembo Std" w:cs="Bembo Std"/>
          <w:i/>
          <w:iCs/>
          <w:color w:val="221E1F"/>
          <w:sz w:val="21"/>
          <w:szCs w:val="21"/>
        </w:rPr>
        <w:t xml:space="preserve">Coca Cola </w:t>
      </w:r>
      <w:proofErr w:type="spellStart"/>
      <w:r>
        <w:rPr>
          <w:rFonts w:ascii="Bembo Std" w:hAnsi="Bembo Std" w:cs="Bembo Std"/>
          <w:i/>
          <w:iCs/>
          <w:color w:val="221E1F"/>
          <w:sz w:val="21"/>
          <w:szCs w:val="21"/>
        </w:rPr>
        <w:t>Sabco</w:t>
      </w:r>
      <w:proofErr w:type="spellEnd"/>
      <w:r>
        <w:rPr>
          <w:rFonts w:ascii="Bembo Std" w:hAnsi="Bembo Std" w:cs="Bembo Std"/>
          <w:i/>
          <w:iCs/>
          <w:color w:val="221E1F"/>
          <w:sz w:val="21"/>
          <w:szCs w:val="21"/>
        </w:rPr>
        <w:t xml:space="preserve"> (Pty) Ltd v Van Wyk </w:t>
      </w:r>
      <w:r>
        <w:rPr>
          <w:rFonts w:ascii="Bembo Std" w:hAnsi="Bembo Std" w:cs="Bembo Std"/>
          <w:color w:val="221E1F"/>
          <w:sz w:val="21"/>
          <w:szCs w:val="21"/>
        </w:rPr>
        <w:t xml:space="preserve">(at 2013) the Labour Appeal Court confirmed that the effect of a reinstatement order is to revive the contract of employment that was terminated by dismissal. Although a commissioner may order that the reinstatement is effective from the date of the award </w:t>
      </w:r>
      <w:r>
        <w:rPr>
          <w:rFonts w:ascii="Bembo Std" w:hAnsi="Bembo Std" w:cs="Bembo Std"/>
          <w:color w:val="221E1F"/>
          <w:sz w:val="21"/>
          <w:szCs w:val="21"/>
        </w:rPr>
        <w:t>or retrospectively from any date not earlier than the date of dismissal, the LRA 1995 does not cater for relief between the date of the award and the date of the implementation of the award. Therefore, where there is a delay in the implementation of the re</w:t>
      </w:r>
      <w:r>
        <w:rPr>
          <w:rFonts w:ascii="Bembo Std" w:hAnsi="Bembo Std" w:cs="Bembo Std"/>
          <w:color w:val="221E1F"/>
          <w:sz w:val="21"/>
          <w:szCs w:val="21"/>
        </w:rPr>
        <w:t>instatement award, the employee is not automatically entitled to payment for the period between the award and the date of implementation. He has a contractual claim that has to be pursued in the civil courts or the Labour Court in terms of s 77 of the Basi</w:t>
      </w:r>
      <w:r>
        <w:rPr>
          <w:rFonts w:ascii="Bembo Std" w:hAnsi="Bembo Std" w:cs="Bembo Std"/>
          <w:color w:val="221E1F"/>
          <w:sz w:val="21"/>
          <w:szCs w:val="21"/>
        </w:rPr>
        <w:t xml:space="preserve">c Conditions of Employment Act 75 of 1997. In this matter the Labour Court had erroneously found that the amount owing could be quantified by way of affidavit for the purposes of a writ of execution, and this finding was set aside on appeal. </w:t>
      </w:r>
    </w:p>
    <w:p w:rsidR="00000000" w:rsidRDefault="00BA4BA8">
      <w:pPr>
        <w:pStyle w:val="CM4"/>
        <w:spacing w:after="120"/>
        <w:jc w:val="both"/>
        <w:rPr>
          <w:rFonts w:cs="Helvetica LT Std"/>
          <w:color w:val="221E1F"/>
          <w:sz w:val="22"/>
          <w:szCs w:val="22"/>
        </w:rPr>
      </w:pPr>
      <w:r>
        <w:rPr>
          <w:rFonts w:cs="Helvetica LT Std"/>
          <w:color w:val="221E1F"/>
          <w:sz w:val="22"/>
          <w:szCs w:val="22"/>
        </w:rPr>
        <w:t>Strikes and L</w:t>
      </w:r>
      <w:r>
        <w:rPr>
          <w:rFonts w:cs="Helvetica LT Std"/>
          <w:color w:val="221E1F"/>
          <w:sz w:val="22"/>
          <w:szCs w:val="22"/>
        </w:rPr>
        <w:t xml:space="preserve">ock-outs </w:t>
      </w:r>
    </w:p>
    <w:p w:rsidR="00000000" w:rsidRDefault="00BA4BA8">
      <w:pPr>
        <w:pStyle w:val="CM2"/>
        <w:jc w:val="both"/>
        <w:rPr>
          <w:rFonts w:ascii="Bembo Std" w:hAnsi="Bembo Std" w:cs="Bembo Std"/>
          <w:color w:val="221E1F"/>
          <w:sz w:val="21"/>
          <w:szCs w:val="21"/>
        </w:rPr>
      </w:pPr>
      <w:r>
        <w:rPr>
          <w:rFonts w:ascii="Bembo Std" w:hAnsi="Bembo Std" w:cs="Bembo Std"/>
          <w:color w:val="221E1F"/>
          <w:sz w:val="21"/>
          <w:szCs w:val="21"/>
        </w:rPr>
        <w:t xml:space="preserve">In </w:t>
      </w:r>
      <w:proofErr w:type="spellStart"/>
      <w:r>
        <w:rPr>
          <w:rFonts w:ascii="Bembo Std" w:hAnsi="Bembo Std" w:cs="Bembo Std"/>
          <w:i/>
          <w:iCs/>
          <w:color w:val="221E1F"/>
          <w:sz w:val="21"/>
          <w:szCs w:val="21"/>
        </w:rPr>
        <w:t>Putco</w:t>
      </w:r>
      <w:proofErr w:type="spellEnd"/>
      <w:r>
        <w:rPr>
          <w:rFonts w:ascii="Bembo Std" w:hAnsi="Bembo Std" w:cs="Bembo Std"/>
          <w:i/>
          <w:iCs/>
          <w:color w:val="221E1F"/>
          <w:sz w:val="21"/>
          <w:szCs w:val="21"/>
        </w:rPr>
        <w:t xml:space="preserve"> (Pty) Ltd v Transport &amp; Allied Workers Union of SA on behalf of Members &amp; another </w:t>
      </w:r>
      <w:r>
        <w:rPr>
          <w:rFonts w:ascii="Bembo Std" w:hAnsi="Bembo Std" w:cs="Bembo Std"/>
          <w:color w:val="221E1F"/>
          <w:sz w:val="21"/>
          <w:szCs w:val="21"/>
        </w:rPr>
        <w:t>(at 2048) the Labour Appeal Court considered the purpose of a lock-out, and specifically whether, where the members of two unions have embarked on a strike</w:t>
      </w:r>
      <w:r>
        <w:rPr>
          <w:rFonts w:ascii="Bembo Std" w:hAnsi="Bembo Std" w:cs="Bembo Std"/>
          <w:color w:val="221E1F"/>
          <w:sz w:val="21"/>
          <w:szCs w:val="21"/>
        </w:rPr>
        <w:t>, the employer is entitled to lock out the members of another union who continue to tender their services. The court found that a lock-out is an important component of an effective collective bargaining system. A lock-out aimed at all employees in the barg</w:t>
      </w:r>
      <w:r>
        <w:rPr>
          <w:rFonts w:ascii="Bembo Std" w:hAnsi="Bembo Std" w:cs="Bembo Std"/>
          <w:color w:val="221E1F"/>
          <w:sz w:val="21"/>
          <w:szCs w:val="21"/>
        </w:rPr>
        <w:t xml:space="preserve">aining unit promotes collective bargaining at sectoral level and seeks to give effect to the majoritarian principle which is at the heart of the collective bargaining dispensation. A lock-out is a deadlock breaking mechanism when the process of collective </w:t>
      </w:r>
      <w:r>
        <w:rPr>
          <w:rFonts w:ascii="Bembo Std" w:hAnsi="Bembo Std" w:cs="Bembo Std"/>
          <w:color w:val="221E1F"/>
          <w:sz w:val="21"/>
          <w:szCs w:val="21"/>
        </w:rPr>
        <w:t xml:space="preserve">bargaining fails. The employer is, therefore, entitled to consider all employees in the bargaining unit as parties to the dispute, including the non-striking workers, and to issue its lock-out notice accordingly. </w:t>
      </w:r>
    </w:p>
    <w:p w:rsidR="00000000" w:rsidRDefault="00BA4BA8">
      <w:pPr>
        <w:pStyle w:val="CM5"/>
        <w:pageBreakBefore/>
        <w:spacing w:after="230" w:line="243" w:lineRule="atLeast"/>
        <w:ind w:firstLine="210"/>
        <w:jc w:val="both"/>
        <w:rPr>
          <w:rFonts w:ascii="Bembo Std" w:hAnsi="Bembo Std" w:cs="Bembo Std"/>
          <w:color w:val="221E1F"/>
          <w:sz w:val="21"/>
          <w:szCs w:val="21"/>
        </w:rPr>
      </w:pPr>
      <w:r>
        <w:rPr>
          <w:rFonts w:ascii="Bembo Std" w:hAnsi="Bembo Std" w:cs="Bembo Std"/>
          <w:color w:val="221E1F"/>
          <w:sz w:val="21"/>
          <w:szCs w:val="21"/>
        </w:rPr>
        <w:lastRenderedPageBreak/>
        <w:t xml:space="preserve">In </w:t>
      </w:r>
      <w:proofErr w:type="spellStart"/>
      <w:r>
        <w:rPr>
          <w:rFonts w:ascii="Bembo Std" w:hAnsi="Bembo Std" w:cs="Bembo Std"/>
          <w:i/>
          <w:iCs/>
          <w:color w:val="221E1F"/>
          <w:sz w:val="21"/>
          <w:szCs w:val="21"/>
        </w:rPr>
        <w:t>Rooipoort</w:t>
      </w:r>
      <w:proofErr w:type="spellEnd"/>
      <w:r>
        <w:rPr>
          <w:rFonts w:ascii="Bembo Std" w:hAnsi="Bembo Std" w:cs="Bembo Std"/>
          <w:i/>
          <w:iCs/>
          <w:color w:val="221E1F"/>
          <w:sz w:val="21"/>
          <w:szCs w:val="21"/>
        </w:rPr>
        <w:t xml:space="preserve"> Developments (Pty) Ltd v Asso</w:t>
      </w:r>
      <w:r>
        <w:rPr>
          <w:rFonts w:ascii="Bembo Std" w:hAnsi="Bembo Std" w:cs="Bembo Std"/>
          <w:i/>
          <w:iCs/>
          <w:color w:val="221E1F"/>
          <w:sz w:val="21"/>
          <w:szCs w:val="21"/>
        </w:rPr>
        <w:t xml:space="preserve">ciation of Mineworkers &amp; Construction Union &amp; others </w:t>
      </w:r>
      <w:r>
        <w:rPr>
          <w:rFonts w:ascii="Bembo Std" w:hAnsi="Bembo Std" w:cs="Bembo Std"/>
          <w:color w:val="221E1F"/>
          <w:sz w:val="21"/>
          <w:szCs w:val="21"/>
        </w:rPr>
        <w:t>(at 2125) the Labour Court noted that employers are precluded from behaving in a manner which will encroach on their employees’ right to strike or disturb them when exercising their right to strike and t</w:t>
      </w:r>
      <w:r>
        <w:rPr>
          <w:rFonts w:ascii="Bembo Std" w:hAnsi="Bembo Std" w:cs="Bembo Std"/>
          <w:color w:val="221E1F"/>
          <w:sz w:val="21"/>
          <w:szCs w:val="21"/>
        </w:rPr>
        <w:t xml:space="preserve">o picket. However, the right to strike and to picket does not create an obligation on the employer to enhance the striking employees’ right to picket and make their strike more effective. </w:t>
      </w:r>
    </w:p>
    <w:p w:rsidR="00000000" w:rsidRDefault="00BA4BA8">
      <w:pPr>
        <w:pStyle w:val="CM4"/>
        <w:spacing w:after="120" w:line="246" w:lineRule="atLeast"/>
        <w:jc w:val="both"/>
        <w:rPr>
          <w:rFonts w:cs="Helvetica LT Std"/>
          <w:color w:val="221E1F"/>
          <w:sz w:val="22"/>
          <w:szCs w:val="22"/>
        </w:rPr>
      </w:pPr>
      <w:r>
        <w:rPr>
          <w:rFonts w:cs="Helvetica LT Std"/>
          <w:color w:val="221E1F"/>
          <w:sz w:val="22"/>
          <w:szCs w:val="22"/>
        </w:rPr>
        <w:t xml:space="preserve">Probationary Employees </w:t>
      </w:r>
    </w:p>
    <w:p w:rsidR="00000000" w:rsidRDefault="00BA4BA8">
      <w:pPr>
        <w:pStyle w:val="CM2"/>
        <w:jc w:val="both"/>
        <w:rPr>
          <w:rFonts w:ascii="Bembo Std" w:hAnsi="Bembo Std" w:cs="Bembo Std"/>
          <w:color w:val="221E1F"/>
          <w:sz w:val="21"/>
          <w:szCs w:val="21"/>
        </w:rPr>
      </w:pPr>
      <w:r>
        <w:rPr>
          <w:rFonts w:ascii="Bembo Std" w:hAnsi="Bembo Std" w:cs="Bembo Std"/>
          <w:color w:val="221E1F"/>
          <w:sz w:val="21"/>
          <w:szCs w:val="21"/>
        </w:rPr>
        <w:t xml:space="preserve">When dealing with a person on probation in </w:t>
      </w:r>
      <w:r>
        <w:rPr>
          <w:rFonts w:ascii="Bembo Std" w:hAnsi="Bembo Std" w:cs="Bembo Std"/>
          <w:color w:val="221E1F"/>
          <w:sz w:val="21"/>
          <w:szCs w:val="21"/>
        </w:rPr>
        <w:t>a responsible position like a professional assistant, where the person claims to have the necessary experience to do the job, it is not unreasonable for the employer simply to point out the perceived shortcomings of the probationer and to emphasise the imp</w:t>
      </w:r>
      <w:r>
        <w:rPr>
          <w:rFonts w:ascii="Bembo Std" w:hAnsi="Bembo Std" w:cs="Bembo Std"/>
          <w:color w:val="221E1F"/>
          <w:sz w:val="21"/>
          <w:szCs w:val="21"/>
        </w:rPr>
        <w:t>ortance of improving her performance if she wants to be permanently appointed. The Labour Court found, on review, that the bargaining council arbitrator had failed to appreciate this, and appeared to believe that the employer had to treat such a probatione</w:t>
      </w:r>
      <w:r>
        <w:rPr>
          <w:rFonts w:ascii="Bembo Std" w:hAnsi="Bembo Std" w:cs="Bembo Std"/>
          <w:color w:val="221E1F"/>
          <w:sz w:val="21"/>
          <w:szCs w:val="21"/>
        </w:rPr>
        <w:t>r as someone who was still in training who need</w:t>
      </w:r>
      <w:r w:rsidR="003442D0">
        <w:rPr>
          <w:rFonts w:ascii="Bembo Std" w:hAnsi="Bembo Std" w:cs="Bembo Std"/>
          <w:color w:val="221E1F"/>
          <w:sz w:val="21"/>
          <w:szCs w:val="21"/>
        </w:rPr>
        <w:t>s</w:t>
      </w:r>
      <w:r>
        <w:rPr>
          <w:rFonts w:ascii="Bembo Std" w:hAnsi="Bembo Std" w:cs="Bembo Std"/>
          <w:color w:val="221E1F"/>
          <w:sz w:val="21"/>
          <w:szCs w:val="21"/>
        </w:rPr>
        <w:t xml:space="preserve"> training, instruction, guidance and counselling before dismissal (</w:t>
      </w:r>
      <w:proofErr w:type="spellStart"/>
      <w:r>
        <w:rPr>
          <w:rFonts w:ascii="Bembo Std" w:hAnsi="Bembo Std" w:cs="Bembo Std"/>
          <w:i/>
          <w:iCs/>
          <w:color w:val="221E1F"/>
          <w:sz w:val="21"/>
          <w:szCs w:val="21"/>
        </w:rPr>
        <w:t>Rheinmetall</w:t>
      </w:r>
      <w:proofErr w:type="spellEnd"/>
      <w:r>
        <w:rPr>
          <w:rFonts w:ascii="Bembo Std" w:hAnsi="Bembo Std" w:cs="Bembo Std"/>
          <w:i/>
          <w:iCs/>
          <w:color w:val="221E1F"/>
          <w:sz w:val="21"/>
          <w:szCs w:val="21"/>
        </w:rPr>
        <w:t xml:space="preserve"> Denel Munition (Pty) Ltd v National Bargaining Council for the Chemical Industry &amp; others </w:t>
      </w:r>
      <w:r>
        <w:rPr>
          <w:rFonts w:ascii="Bembo Std" w:hAnsi="Bembo Std" w:cs="Bembo Std"/>
          <w:color w:val="221E1F"/>
          <w:sz w:val="21"/>
          <w:szCs w:val="21"/>
        </w:rPr>
        <w:t xml:space="preserve">at 2117). </w:t>
      </w:r>
    </w:p>
    <w:p w:rsidR="00000000" w:rsidRDefault="00BA4BA8">
      <w:pPr>
        <w:pStyle w:val="CM5"/>
        <w:spacing w:after="230" w:line="243" w:lineRule="atLeast"/>
        <w:ind w:firstLine="210"/>
        <w:jc w:val="both"/>
        <w:rPr>
          <w:rFonts w:ascii="Bembo Std" w:hAnsi="Bembo Std" w:cs="Bembo Std"/>
          <w:color w:val="221E1F"/>
          <w:sz w:val="21"/>
          <w:szCs w:val="21"/>
        </w:rPr>
      </w:pPr>
      <w:r>
        <w:rPr>
          <w:rFonts w:ascii="Bembo Std" w:hAnsi="Bembo Std" w:cs="Bembo Std"/>
          <w:color w:val="221E1F"/>
          <w:sz w:val="21"/>
          <w:szCs w:val="21"/>
        </w:rPr>
        <w:t>An employment contract entere</w:t>
      </w:r>
      <w:r>
        <w:rPr>
          <w:rFonts w:ascii="Bembo Std" w:hAnsi="Bembo Std" w:cs="Bembo Std"/>
          <w:color w:val="221E1F"/>
          <w:sz w:val="21"/>
          <w:szCs w:val="21"/>
        </w:rPr>
        <w:t>d into by a probationary employee obliged her to pay, on premature termination, compensation for in-house training quantified at three times her monthly cost to company. When the employer sought to enforce this provision, the Labour Court found that the pr</w:t>
      </w:r>
      <w:r>
        <w:rPr>
          <w:rFonts w:ascii="Bembo Std" w:hAnsi="Bembo Std" w:cs="Bembo Std"/>
          <w:color w:val="221E1F"/>
          <w:sz w:val="21"/>
          <w:szCs w:val="21"/>
        </w:rPr>
        <w:t>ovision amounted to a penalty stipulation in terms of the Conventional Penalties Act 15 of 1962 and was glaringly excessive. In addition, the court found that the employer was attempting to recover training costs in respect of training it was in fact oblig</w:t>
      </w:r>
      <w:r>
        <w:rPr>
          <w:rFonts w:ascii="Bembo Std" w:hAnsi="Bembo Std" w:cs="Bembo Std"/>
          <w:color w:val="221E1F"/>
          <w:sz w:val="21"/>
          <w:szCs w:val="21"/>
        </w:rPr>
        <w:t>ed to provide as part and parcel of probation during the probationary period it terms of item 8(1)</w:t>
      </w:r>
      <w:r>
        <w:rPr>
          <w:rFonts w:ascii="Bembo Std" w:hAnsi="Bembo Std" w:cs="Bembo Std"/>
          <w:i/>
          <w:iCs/>
          <w:color w:val="221E1F"/>
          <w:sz w:val="21"/>
          <w:szCs w:val="21"/>
        </w:rPr>
        <w:t>(e)</w:t>
      </w:r>
      <w:r>
        <w:rPr>
          <w:rFonts w:ascii="Bembo Std" w:hAnsi="Bembo Std" w:cs="Bembo Std"/>
          <w:color w:val="221E1F"/>
          <w:sz w:val="21"/>
          <w:szCs w:val="21"/>
        </w:rPr>
        <w:t xml:space="preserve"> of the Code of Good Practice: Dismissal (</w:t>
      </w:r>
      <w:r>
        <w:rPr>
          <w:rFonts w:ascii="Bembo Std" w:hAnsi="Bembo Std" w:cs="Bembo Std"/>
          <w:i/>
          <w:iCs/>
          <w:color w:val="221E1F"/>
          <w:sz w:val="21"/>
          <w:szCs w:val="21"/>
        </w:rPr>
        <w:t xml:space="preserve">Syrex (Pty) Ltd v </w:t>
      </w:r>
      <w:proofErr w:type="spellStart"/>
      <w:r>
        <w:rPr>
          <w:rFonts w:ascii="Bembo Std" w:hAnsi="Bembo Std" w:cs="Bembo Std"/>
          <w:i/>
          <w:iCs/>
          <w:color w:val="221E1F"/>
          <w:sz w:val="21"/>
          <w:szCs w:val="21"/>
        </w:rPr>
        <w:t>Ramfolo</w:t>
      </w:r>
      <w:proofErr w:type="spellEnd"/>
      <w:r>
        <w:rPr>
          <w:rFonts w:ascii="Bembo Std" w:hAnsi="Bembo Std" w:cs="Bembo Std"/>
          <w:color w:val="221E1F"/>
          <w:sz w:val="21"/>
          <w:szCs w:val="21"/>
        </w:rPr>
        <w:t xml:space="preserve"> at 2132). </w:t>
      </w:r>
      <w:bookmarkStart w:id="0" w:name="_GoBack"/>
      <w:bookmarkEnd w:id="0"/>
    </w:p>
    <w:p w:rsidR="00000000" w:rsidRDefault="00BA4BA8">
      <w:pPr>
        <w:pStyle w:val="CM4"/>
        <w:spacing w:after="120" w:line="266" w:lineRule="atLeast"/>
        <w:ind w:right="1330"/>
        <w:jc w:val="both"/>
        <w:rPr>
          <w:rFonts w:cs="Helvetica LT Std"/>
          <w:color w:val="221E1F"/>
          <w:sz w:val="22"/>
          <w:szCs w:val="22"/>
        </w:rPr>
      </w:pPr>
      <w:r>
        <w:rPr>
          <w:rFonts w:cs="Helvetica LT Std"/>
          <w:color w:val="221E1F"/>
          <w:sz w:val="22"/>
          <w:szCs w:val="22"/>
        </w:rPr>
        <w:t xml:space="preserve">Basic Conditions of Employment Act 75 of 1997 — Transportation </w:t>
      </w:r>
    </w:p>
    <w:p w:rsidR="00000000" w:rsidRDefault="00BA4BA8">
      <w:pPr>
        <w:pStyle w:val="CM5"/>
        <w:spacing w:after="230" w:line="246" w:lineRule="atLeast"/>
        <w:jc w:val="both"/>
        <w:rPr>
          <w:rFonts w:ascii="Bembo Std" w:hAnsi="Bembo Std" w:cs="Bembo Std"/>
          <w:color w:val="221E1F"/>
          <w:sz w:val="21"/>
          <w:szCs w:val="21"/>
        </w:rPr>
      </w:pPr>
      <w:r>
        <w:rPr>
          <w:rFonts w:ascii="Bembo Std" w:hAnsi="Bembo Std" w:cs="Bembo Std"/>
          <w:color w:val="221E1F"/>
          <w:sz w:val="21"/>
          <w:szCs w:val="21"/>
        </w:rPr>
        <w:t xml:space="preserve">In </w:t>
      </w:r>
      <w:r>
        <w:rPr>
          <w:rFonts w:ascii="Bembo Std" w:hAnsi="Bembo Std" w:cs="Bembo Std"/>
          <w:i/>
          <w:iCs/>
          <w:color w:val="221E1F"/>
          <w:sz w:val="21"/>
          <w:szCs w:val="21"/>
        </w:rPr>
        <w:t>TFD Netwo</w:t>
      </w:r>
      <w:r>
        <w:rPr>
          <w:rFonts w:ascii="Bembo Std" w:hAnsi="Bembo Std" w:cs="Bembo Std"/>
          <w:i/>
          <w:iCs/>
          <w:color w:val="221E1F"/>
          <w:sz w:val="21"/>
          <w:szCs w:val="21"/>
        </w:rPr>
        <w:t xml:space="preserve">rk Africa (Pty) Ltd v Singh NO &amp; others </w:t>
      </w:r>
      <w:r>
        <w:rPr>
          <w:rFonts w:ascii="Bembo Std" w:hAnsi="Bembo Std" w:cs="Bembo Std"/>
          <w:color w:val="221E1F"/>
          <w:sz w:val="21"/>
          <w:szCs w:val="21"/>
        </w:rPr>
        <w:t>(at 2142) the Labour Court interpreted s 17(2</w:t>
      </w:r>
      <w:proofErr w:type="gramStart"/>
      <w:r>
        <w:rPr>
          <w:rFonts w:ascii="Bembo Std" w:hAnsi="Bembo Std" w:cs="Bembo Std"/>
          <w:color w:val="221E1F"/>
          <w:sz w:val="21"/>
          <w:szCs w:val="21"/>
        </w:rPr>
        <w:t>)</w:t>
      </w:r>
      <w:r>
        <w:rPr>
          <w:rFonts w:ascii="Bembo Std" w:hAnsi="Bembo Std" w:cs="Bembo Std"/>
          <w:i/>
          <w:iCs/>
          <w:color w:val="221E1F"/>
          <w:sz w:val="21"/>
          <w:szCs w:val="21"/>
        </w:rPr>
        <w:t>(</w:t>
      </w:r>
      <w:proofErr w:type="gramEnd"/>
      <w:r>
        <w:rPr>
          <w:rFonts w:ascii="Bembo Std" w:hAnsi="Bembo Std" w:cs="Bembo Std"/>
          <w:i/>
          <w:iCs/>
          <w:color w:val="221E1F"/>
          <w:sz w:val="21"/>
          <w:szCs w:val="21"/>
        </w:rPr>
        <w:t>b)</w:t>
      </w:r>
      <w:r>
        <w:rPr>
          <w:rFonts w:ascii="Bembo Std" w:hAnsi="Bembo Std" w:cs="Bembo Std"/>
          <w:color w:val="221E1F"/>
          <w:sz w:val="21"/>
          <w:szCs w:val="21"/>
        </w:rPr>
        <w:t xml:space="preserve"> of the Basic Conditions of Employment Act, which provides that an employer may only require an employee to perform night work if ‘transportation is available between </w:t>
      </w:r>
      <w:r>
        <w:rPr>
          <w:rFonts w:ascii="Bembo Std" w:hAnsi="Bembo Std" w:cs="Bembo Std"/>
          <w:color w:val="221E1F"/>
          <w:sz w:val="21"/>
          <w:szCs w:val="21"/>
        </w:rPr>
        <w:t xml:space="preserve">the employee’s place of residence at the commencement and conclusion of the employee’s shift’. Following a common-sense, purposive approach, </w:t>
      </w:r>
      <w:proofErr w:type="gramStart"/>
      <w:r>
        <w:rPr>
          <w:rFonts w:ascii="Bembo Std" w:hAnsi="Bembo Std" w:cs="Bembo Std"/>
          <w:color w:val="221E1F"/>
          <w:sz w:val="21"/>
          <w:szCs w:val="21"/>
        </w:rPr>
        <w:t>the</w:t>
      </w:r>
      <w:proofErr w:type="gramEnd"/>
      <w:r>
        <w:rPr>
          <w:rFonts w:ascii="Bembo Std" w:hAnsi="Bembo Std" w:cs="Bembo Std"/>
          <w:color w:val="221E1F"/>
          <w:sz w:val="21"/>
          <w:szCs w:val="21"/>
        </w:rPr>
        <w:t xml:space="preserve"> court found that the purpose of the regulation of night work is to avoid or minimise health risks and risks to </w:t>
      </w:r>
      <w:r>
        <w:rPr>
          <w:rFonts w:ascii="Bembo Std" w:hAnsi="Bembo Std" w:cs="Bembo Std"/>
          <w:color w:val="221E1F"/>
          <w:sz w:val="21"/>
          <w:szCs w:val="21"/>
        </w:rPr>
        <w:t>the safety of workers. Based on this interpretation, the court was of the view that an employer must ensure that transportation is available between the workplace and the employee’s place of residence on each occasion that the employee has to work beyond 1</w:t>
      </w:r>
      <w:r>
        <w:rPr>
          <w:rFonts w:ascii="Bembo Std" w:hAnsi="Bembo Std" w:cs="Bembo Std"/>
          <w:color w:val="221E1F"/>
          <w:sz w:val="21"/>
          <w:szCs w:val="21"/>
        </w:rPr>
        <w:t xml:space="preserve">8:00 and not only where that employee regularly performs night work or where his or her shift falls predominantly during the hours after 18:00 and before 06:00. </w:t>
      </w:r>
    </w:p>
    <w:p w:rsidR="00000000" w:rsidRDefault="00BA4BA8">
      <w:pPr>
        <w:pStyle w:val="CM4"/>
        <w:pageBreakBefore/>
        <w:spacing w:after="120"/>
        <w:jc w:val="both"/>
        <w:rPr>
          <w:rFonts w:cs="Helvetica LT Std"/>
          <w:color w:val="221E1F"/>
          <w:sz w:val="22"/>
          <w:szCs w:val="22"/>
        </w:rPr>
      </w:pPr>
      <w:r>
        <w:rPr>
          <w:rFonts w:cs="Helvetica LT Std"/>
          <w:color w:val="221E1F"/>
          <w:sz w:val="22"/>
          <w:szCs w:val="22"/>
        </w:rPr>
        <w:lastRenderedPageBreak/>
        <w:t xml:space="preserve">Labour Appeal Court — Powers </w:t>
      </w:r>
    </w:p>
    <w:p w:rsidR="00000000" w:rsidRDefault="00BA4BA8">
      <w:pPr>
        <w:pStyle w:val="CM5"/>
        <w:spacing w:after="230" w:line="246" w:lineRule="atLeast"/>
        <w:jc w:val="both"/>
        <w:rPr>
          <w:rFonts w:ascii="Bembo Std" w:hAnsi="Bembo Std" w:cs="Bembo Std"/>
          <w:color w:val="221E1F"/>
          <w:sz w:val="21"/>
          <w:szCs w:val="21"/>
        </w:rPr>
      </w:pPr>
      <w:r>
        <w:rPr>
          <w:rFonts w:ascii="Bembo Std" w:hAnsi="Bembo Std" w:cs="Bembo Std"/>
          <w:color w:val="221E1F"/>
          <w:sz w:val="21"/>
          <w:szCs w:val="21"/>
        </w:rPr>
        <w:t xml:space="preserve">In </w:t>
      </w:r>
      <w:r>
        <w:rPr>
          <w:rFonts w:ascii="Bembo Std" w:hAnsi="Bembo Std" w:cs="Bembo Std"/>
          <w:i/>
          <w:iCs/>
          <w:color w:val="221E1F"/>
          <w:sz w:val="21"/>
          <w:szCs w:val="21"/>
        </w:rPr>
        <w:t>National Union of Mineworkers &amp; another v Commission for Conc</w:t>
      </w:r>
      <w:r>
        <w:rPr>
          <w:rFonts w:ascii="Bembo Std" w:hAnsi="Bembo Std" w:cs="Bembo Std"/>
          <w:i/>
          <w:iCs/>
          <w:color w:val="221E1F"/>
          <w:sz w:val="21"/>
          <w:szCs w:val="21"/>
        </w:rPr>
        <w:t xml:space="preserve">iliation, Mediation &amp; Arbitration &amp; others </w:t>
      </w:r>
      <w:r>
        <w:rPr>
          <w:rFonts w:ascii="Bembo Std" w:hAnsi="Bembo Std" w:cs="Bembo Std"/>
          <w:color w:val="221E1F"/>
          <w:sz w:val="21"/>
          <w:szCs w:val="21"/>
        </w:rPr>
        <w:t xml:space="preserve">(at 2038) the Labour Appeal Court found that it was empowered to determine a matter on appeal despite the fact that the Labour Court had ordered that the matter be remitted to the CCMA for a new hearing. </w:t>
      </w:r>
    </w:p>
    <w:p w:rsidR="00000000" w:rsidRDefault="00BA4BA8">
      <w:pPr>
        <w:pStyle w:val="CM4"/>
        <w:spacing w:after="120"/>
        <w:jc w:val="both"/>
        <w:rPr>
          <w:rFonts w:cs="Helvetica LT Std"/>
          <w:color w:val="221E1F"/>
          <w:sz w:val="22"/>
          <w:szCs w:val="22"/>
        </w:rPr>
      </w:pPr>
      <w:r>
        <w:rPr>
          <w:rFonts w:cs="Helvetica LT Std"/>
          <w:color w:val="221E1F"/>
          <w:sz w:val="22"/>
          <w:szCs w:val="22"/>
        </w:rPr>
        <w:t>Settleme</w:t>
      </w:r>
      <w:r>
        <w:rPr>
          <w:rFonts w:cs="Helvetica LT Std"/>
          <w:color w:val="221E1F"/>
          <w:sz w:val="22"/>
          <w:szCs w:val="22"/>
        </w:rPr>
        <w:t xml:space="preserve">nt Agreement — Mandate of State Attorney </w:t>
      </w:r>
    </w:p>
    <w:p w:rsidR="00000000" w:rsidRDefault="00BA4BA8">
      <w:pPr>
        <w:pStyle w:val="CM5"/>
        <w:spacing w:after="230" w:line="246" w:lineRule="atLeast"/>
        <w:jc w:val="both"/>
        <w:rPr>
          <w:rFonts w:ascii="Bembo Std" w:hAnsi="Bembo Std" w:cs="Bembo Std"/>
          <w:color w:val="221E1F"/>
          <w:sz w:val="21"/>
          <w:szCs w:val="21"/>
        </w:rPr>
      </w:pPr>
      <w:r>
        <w:rPr>
          <w:rFonts w:ascii="Bembo Std" w:hAnsi="Bembo Std" w:cs="Bembo Std"/>
          <w:color w:val="221E1F"/>
          <w:sz w:val="21"/>
          <w:szCs w:val="21"/>
        </w:rPr>
        <w:t>A legal representative from the office of the state attorney had acted on behalf of both the Minister of Public Service &amp; Administration and the Minister of Justice &amp; Constitutional Development when he entered into</w:t>
      </w:r>
      <w:r>
        <w:rPr>
          <w:rFonts w:ascii="Bembo Std" w:hAnsi="Bembo Std" w:cs="Bembo Std"/>
          <w:color w:val="221E1F"/>
          <w:sz w:val="21"/>
          <w:szCs w:val="21"/>
        </w:rPr>
        <w:t xml:space="preserve"> a settlement agreement with several employees. In proceedings to have the agreement made an order of court, the Minister of Justice argued that he had not signed the agreement and it was not binding on him. The court found that an attorney has ostensible </w:t>
      </w:r>
      <w:r>
        <w:rPr>
          <w:rFonts w:ascii="Bembo Std" w:hAnsi="Bembo Std" w:cs="Bembo Std"/>
          <w:color w:val="221E1F"/>
          <w:sz w:val="21"/>
          <w:szCs w:val="21"/>
        </w:rPr>
        <w:t>authority to conclude a settlement agreement on his client’s behalf and that the state attorney has an even wider general authority than an ordinary attorney as he derives his authority from statute. Thus, even if a senior government official is unaware of</w:t>
      </w:r>
      <w:r>
        <w:rPr>
          <w:rFonts w:ascii="Bembo Std" w:hAnsi="Bembo Std" w:cs="Bembo Std"/>
          <w:color w:val="221E1F"/>
          <w:sz w:val="21"/>
          <w:szCs w:val="21"/>
        </w:rPr>
        <w:t xml:space="preserve"> or has not expressly approved of a settlement agreement, this does not entitle the government to avoid the agreement. The court accordingly found that the settlement agreement was binding on the Minister of Justice (</w:t>
      </w:r>
      <w:proofErr w:type="spellStart"/>
      <w:r>
        <w:rPr>
          <w:rFonts w:ascii="Bembo Std" w:hAnsi="Bembo Std" w:cs="Bembo Std"/>
          <w:i/>
          <w:iCs/>
          <w:color w:val="221E1F"/>
          <w:sz w:val="21"/>
          <w:szCs w:val="21"/>
        </w:rPr>
        <w:t>Myburgh</w:t>
      </w:r>
      <w:proofErr w:type="spellEnd"/>
      <w:r>
        <w:rPr>
          <w:rFonts w:ascii="Bembo Std" w:hAnsi="Bembo Std" w:cs="Bembo Std"/>
          <w:i/>
          <w:iCs/>
          <w:color w:val="221E1F"/>
          <w:sz w:val="21"/>
          <w:szCs w:val="21"/>
        </w:rPr>
        <w:t xml:space="preserve"> &amp; others v Minister of Public S</w:t>
      </w:r>
      <w:r>
        <w:rPr>
          <w:rFonts w:ascii="Bembo Std" w:hAnsi="Bembo Std" w:cs="Bembo Std"/>
          <w:i/>
          <w:iCs/>
          <w:color w:val="221E1F"/>
          <w:sz w:val="21"/>
          <w:szCs w:val="21"/>
        </w:rPr>
        <w:t>ervice &amp; Administration &amp; others</w:t>
      </w:r>
      <w:r>
        <w:rPr>
          <w:rFonts w:ascii="Bembo Std" w:hAnsi="Bembo Std" w:cs="Bembo Std"/>
          <w:color w:val="221E1F"/>
          <w:sz w:val="21"/>
          <w:szCs w:val="21"/>
        </w:rPr>
        <w:t xml:space="preserve"> at 2090). </w:t>
      </w:r>
    </w:p>
    <w:p w:rsidR="00000000" w:rsidRDefault="00BA4BA8">
      <w:pPr>
        <w:pStyle w:val="CM4"/>
        <w:spacing w:after="120" w:line="266" w:lineRule="atLeast"/>
        <w:ind w:right="730"/>
        <w:jc w:val="both"/>
        <w:rPr>
          <w:rFonts w:cs="Helvetica LT Std"/>
          <w:color w:val="221E1F"/>
          <w:sz w:val="22"/>
          <w:szCs w:val="22"/>
        </w:rPr>
      </w:pPr>
      <w:r>
        <w:rPr>
          <w:rFonts w:cs="Helvetica LT Std"/>
          <w:color w:val="221E1F"/>
          <w:sz w:val="22"/>
          <w:szCs w:val="22"/>
        </w:rPr>
        <w:t xml:space="preserve">Residual Unfair Labour Practices and the Public Finance Management Act 1 of 1999 </w:t>
      </w:r>
    </w:p>
    <w:p w:rsidR="00000000" w:rsidRDefault="00BA4BA8">
      <w:pPr>
        <w:pStyle w:val="CM5"/>
        <w:spacing w:after="230" w:line="246" w:lineRule="atLeast"/>
        <w:jc w:val="both"/>
        <w:rPr>
          <w:rFonts w:ascii="Bembo Std" w:hAnsi="Bembo Std" w:cs="Bembo Std"/>
          <w:color w:val="221E1F"/>
          <w:sz w:val="21"/>
          <w:szCs w:val="21"/>
        </w:rPr>
      </w:pPr>
      <w:r>
        <w:rPr>
          <w:rFonts w:ascii="Bembo Std" w:hAnsi="Bembo Std" w:cs="Bembo Std"/>
          <w:color w:val="221E1F"/>
          <w:sz w:val="21"/>
          <w:szCs w:val="21"/>
        </w:rPr>
        <w:t xml:space="preserve">In </w:t>
      </w:r>
      <w:r>
        <w:rPr>
          <w:rFonts w:ascii="Bembo Std" w:hAnsi="Bembo Std" w:cs="Bembo Std"/>
          <w:i/>
          <w:iCs/>
          <w:color w:val="221E1F"/>
          <w:sz w:val="21"/>
          <w:szCs w:val="21"/>
        </w:rPr>
        <w:t xml:space="preserve">Western Cape Gambling &amp; Racing Board v Commission for Conciliation, Mediation &amp; Arbitration &amp; others </w:t>
      </w:r>
      <w:r>
        <w:rPr>
          <w:rFonts w:ascii="Bembo Std" w:hAnsi="Bembo Std" w:cs="Bembo Std"/>
          <w:color w:val="221E1F"/>
          <w:sz w:val="21"/>
          <w:szCs w:val="21"/>
        </w:rPr>
        <w:t>(at 2166) the Labour Court</w:t>
      </w:r>
      <w:r>
        <w:rPr>
          <w:rFonts w:ascii="Bembo Std" w:hAnsi="Bembo Std" w:cs="Bembo Std"/>
          <w:color w:val="221E1F"/>
          <w:sz w:val="21"/>
          <w:szCs w:val="21"/>
        </w:rPr>
        <w:t xml:space="preserve"> found that a public entity employees’ ex </w:t>
      </w:r>
      <w:proofErr w:type="spellStart"/>
      <w:r>
        <w:rPr>
          <w:rFonts w:ascii="Bembo Std" w:hAnsi="Bembo Std" w:cs="Bembo Std"/>
          <w:color w:val="221E1F"/>
          <w:sz w:val="21"/>
          <w:szCs w:val="21"/>
        </w:rPr>
        <w:t>lege</w:t>
      </w:r>
      <w:proofErr w:type="spellEnd"/>
      <w:r>
        <w:rPr>
          <w:rFonts w:ascii="Bembo Std" w:hAnsi="Bembo Std" w:cs="Bembo Std"/>
          <w:color w:val="221E1F"/>
          <w:sz w:val="21"/>
          <w:szCs w:val="21"/>
        </w:rPr>
        <w:t xml:space="preserve"> right to fair labour practices could not be limited by their employer’s obligations in terms of the Public Finance Management Act and the employer could not rely on the prescripts of the PFMA as a defence to p</w:t>
      </w:r>
      <w:r>
        <w:rPr>
          <w:rFonts w:ascii="Bembo Std" w:hAnsi="Bembo Std" w:cs="Bembo Std"/>
          <w:color w:val="221E1F"/>
          <w:sz w:val="21"/>
          <w:szCs w:val="21"/>
        </w:rPr>
        <w:t xml:space="preserve">rima facie unfair conduct in respect of the provision of benefits. This would violate constitutionally entrenched rights of the employees of public bodies, and would preclude such employees from the protection of ex </w:t>
      </w:r>
      <w:proofErr w:type="spellStart"/>
      <w:r>
        <w:rPr>
          <w:rFonts w:ascii="Bembo Std" w:hAnsi="Bembo Std" w:cs="Bembo Std"/>
          <w:color w:val="221E1F"/>
          <w:sz w:val="21"/>
          <w:szCs w:val="21"/>
        </w:rPr>
        <w:t>lege</w:t>
      </w:r>
      <w:proofErr w:type="spellEnd"/>
      <w:r>
        <w:rPr>
          <w:rFonts w:ascii="Bembo Std" w:hAnsi="Bembo Std" w:cs="Bembo Std"/>
          <w:color w:val="221E1F"/>
          <w:sz w:val="21"/>
          <w:szCs w:val="21"/>
        </w:rPr>
        <w:t xml:space="preserve"> rights applicable to private sector</w:t>
      </w:r>
      <w:r>
        <w:rPr>
          <w:rFonts w:ascii="Bembo Std" w:hAnsi="Bembo Std" w:cs="Bembo Std"/>
          <w:color w:val="221E1F"/>
          <w:sz w:val="21"/>
          <w:szCs w:val="21"/>
        </w:rPr>
        <w:t xml:space="preserve"> employees, offending against their fundamental right to equality and fair labour practices. </w:t>
      </w:r>
    </w:p>
    <w:p w:rsidR="00000000" w:rsidRDefault="00BA4BA8">
      <w:pPr>
        <w:pStyle w:val="CM4"/>
        <w:spacing w:after="120" w:line="246" w:lineRule="atLeast"/>
        <w:jc w:val="both"/>
        <w:rPr>
          <w:rFonts w:cs="Helvetica LT Std"/>
          <w:color w:val="221E1F"/>
          <w:sz w:val="22"/>
          <w:szCs w:val="22"/>
        </w:rPr>
      </w:pPr>
      <w:r>
        <w:rPr>
          <w:rFonts w:cs="Helvetica LT Std"/>
          <w:color w:val="221E1F"/>
          <w:sz w:val="22"/>
          <w:szCs w:val="22"/>
        </w:rPr>
        <w:t xml:space="preserve">Local Authorities — Precautionary Suspension of Managers </w:t>
      </w:r>
    </w:p>
    <w:p w:rsidR="00000000" w:rsidRDefault="00BA4BA8">
      <w:pPr>
        <w:pStyle w:val="CM4"/>
        <w:spacing w:after="120" w:line="246" w:lineRule="atLeast"/>
        <w:jc w:val="both"/>
        <w:rPr>
          <w:rFonts w:ascii="Bembo Std" w:hAnsi="Bembo Std" w:cs="Bembo Std"/>
          <w:color w:val="221E1F"/>
          <w:sz w:val="21"/>
          <w:szCs w:val="21"/>
        </w:rPr>
      </w:pPr>
      <w:r>
        <w:rPr>
          <w:rFonts w:ascii="Bembo Std" w:hAnsi="Bembo Std" w:cs="Bembo Std"/>
          <w:color w:val="221E1F"/>
          <w:sz w:val="21"/>
          <w:szCs w:val="21"/>
        </w:rPr>
        <w:t xml:space="preserve">The Labour Court, in </w:t>
      </w:r>
      <w:proofErr w:type="spellStart"/>
      <w:r>
        <w:rPr>
          <w:rFonts w:ascii="Bembo Std" w:hAnsi="Bembo Std" w:cs="Bembo Std"/>
          <w:i/>
          <w:iCs/>
          <w:color w:val="221E1F"/>
          <w:sz w:val="21"/>
          <w:szCs w:val="21"/>
        </w:rPr>
        <w:t>Tsietsi</w:t>
      </w:r>
      <w:proofErr w:type="spellEnd"/>
      <w:r>
        <w:rPr>
          <w:rFonts w:ascii="Bembo Std" w:hAnsi="Bembo Std" w:cs="Bembo Std"/>
          <w:i/>
          <w:iCs/>
          <w:color w:val="221E1F"/>
          <w:sz w:val="21"/>
          <w:szCs w:val="21"/>
        </w:rPr>
        <w:t xml:space="preserve"> v City of </w:t>
      </w:r>
      <w:proofErr w:type="spellStart"/>
      <w:r>
        <w:rPr>
          <w:rFonts w:ascii="Bembo Std" w:hAnsi="Bembo Std" w:cs="Bembo Std"/>
          <w:i/>
          <w:iCs/>
          <w:color w:val="221E1F"/>
          <w:sz w:val="21"/>
          <w:szCs w:val="21"/>
        </w:rPr>
        <w:t>Matlosana</w:t>
      </w:r>
      <w:proofErr w:type="spellEnd"/>
      <w:r>
        <w:rPr>
          <w:rFonts w:ascii="Bembo Std" w:hAnsi="Bembo Std" w:cs="Bembo Std"/>
          <w:i/>
          <w:iCs/>
          <w:color w:val="221E1F"/>
          <w:sz w:val="21"/>
          <w:szCs w:val="21"/>
        </w:rPr>
        <w:t xml:space="preserve"> Local Municipality &amp; another </w:t>
      </w:r>
      <w:r>
        <w:rPr>
          <w:rFonts w:ascii="Bembo Std" w:hAnsi="Bembo Std" w:cs="Bembo Std"/>
          <w:color w:val="221E1F"/>
          <w:sz w:val="21"/>
          <w:szCs w:val="21"/>
        </w:rPr>
        <w:t>(at 2158), considered the prescripts and purpose of regulation 6 of the Local Government: Disciplinary Regulations for Senior Managers 2010, and noted that a suspension in terms of regulation 6 was precautionary and not punitive and that regulation 6 conta</w:t>
      </w:r>
      <w:r>
        <w:rPr>
          <w:rFonts w:ascii="Bembo Std" w:hAnsi="Bembo Std" w:cs="Bembo Std"/>
          <w:color w:val="221E1F"/>
          <w:sz w:val="21"/>
          <w:szCs w:val="21"/>
        </w:rPr>
        <w:t>ined safeguards of no loss of remuneration and a limited period of operation. Consequently, the jurisprudence of the court in dealing with regulation 6 should not be read as setting the bar so high that the duty to investigate financial irregularities by o</w:t>
      </w:r>
      <w:r>
        <w:rPr>
          <w:rFonts w:ascii="Bembo Std" w:hAnsi="Bembo Std" w:cs="Bembo Std"/>
          <w:color w:val="221E1F"/>
          <w:sz w:val="21"/>
          <w:szCs w:val="21"/>
        </w:rPr>
        <w:t xml:space="preserve">fficers in municipalities is rendered near impossible to carry out. </w:t>
      </w:r>
    </w:p>
    <w:p w:rsidR="00000000" w:rsidRDefault="00BA4BA8">
      <w:pPr>
        <w:pStyle w:val="CM4"/>
        <w:pageBreakBefore/>
        <w:spacing w:after="120"/>
        <w:jc w:val="both"/>
        <w:rPr>
          <w:rFonts w:cs="Helvetica LT Std"/>
          <w:color w:val="221E1F"/>
          <w:sz w:val="22"/>
          <w:szCs w:val="22"/>
        </w:rPr>
      </w:pPr>
      <w:r>
        <w:rPr>
          <w:rFonts w:cs="Helvetica LT Std"/>
          <w:color w:val="221E1F"/>
          <w:sz w:val="22"/>
          <w:szCs w:val="22"/>
        </w:rPr>
        <w:lastRenderedPageBreak/>
        <w:t xml:space="preserve">Arbitrators and Commissioners — Functions and Duties </w:t>
      </w:r>
    </w:p>
    <w:p w:rsidR="00000000" w:rsidRDefault="00BA4BA8">
      <w:pPr>
        <w:pStyle w:val="CM4"/>
        <w:spacing w:after="120" w:line="246" w:lineRule="atLeast"/>
        <w:jc w:val="both"/>
        <w:rPr>
          <w:rFonts w:ascii="Bembo Std" w:hAnsi="Bembo Std" w:cs="Bembo Std"/>
          <w:color w:val="221E1F"/>
          <w:sz w:val="21"/>
          <w:szCs w:val="21"/>
        </w:rPr>
      </w:pPr>
      <w:r>
        <w:rPr>
          <w:rFonts w:ascii="Bembo Std" w:hAnsi="Bembo Std" w:cs="Bembo Std"/>
          <w:color w:val="221E1F"/>
          <w:sz w:val="21"/>
          <w:szCs w:val="21"/>
        </w:rPr>
        <w:t xml:space="preserve">In </w:t>
      </w:r>
      <w:r>
        <w:rPr>
          <w:rFonts w:ascii="Bembo Std" w:hAnsi="Bembo Std" w:cs="Bembo Std"/>
          <w:i/>
          <w:iCs/>
          <w:color w:val="221E1F"/>
          <w:sz w:val="21"/>
          <w:szCs w:val="21"/>
        </w:rPr>
        <w:t xml:space="preserve">National Union of Metalworkers of SA &amp; another v Wainwright NO &amp; others </w:t>
      </w:r>
      <w:r>
        <w:rPr>
          <w:rFonts w:ascii="Bembo Std" w:hAnsi="Bembo Std" w:cs="Bembo Std"/>
          <w:color w:val="221E1F"/>
          <w:sz w:val="21"/>
          <w:szCs w:val="21"/>
        </w:rPr>
        <w:t>(at 2097) the Labour Court detailed the standards of behav</w:t>
      </w:r>
      <w:r>
        <w:rPr>
          <w:rFonts w:ascii="Bembo Std" w:hAnsi="Bembo Std" w:cs="Bembo Std"/>
          <w:color w:val="221E1F"/>
          <w:sz w:val="21"/>
          <w:szCs w:val="21"/>
        </w:rPr>
        <w:t>iour, values and ethics which are expected of CCMA commissioners and bargaining council arbitrators. It highlighted that a purpose of the CCMA and bargaining councils is to promote social justice, a concept best described by the term ‘</w:t>
      </w:r>
      <w:proofErr w:type="spellStart"/>
      <w:r>
        <w:rPr>
          <w:rFonts w:ascii="Bembo Std" w:hAnsi="Bembo Std" w:cs="Bembo Std"/>
          <w:color w:val="221E1F"/>
          <w:sz w:val="21"/>
          <w:szCs w:val="21"/>
        </w:rPr>
        <w:t>ubuntu</w:t>
      </w:r>
      <w:proofErr w:type="spellEnd"/>
      <w:r>
        <w:rPr>
          <w:rFonts w:ascii="Bembo Std" w:hAnsi="Bembo Std" w:cs="Bembo Std"/>
          <w:color w:val="221E1F"/>
          <w:sz w:val="21"/>
          <w:szCs w:val="21"/>
        </w:rPr>
        <w:t>’, which is ach</w:t>
      </w:r>
      <w:r>
        <w:rPr>
          <w:rFonts w:ascii="Bembo Std" w:hAnsi="Bembo Std" w:cs="Bembo Std"/>
          <w:color w:val="221E1F"/>
          <w:sz w:val="21"/>
          <w:szCs w:val="21"/>
        </w:rPr>
        <w:t xml:space="preserve">ieved by treating all users equally with dignity and respect and by being accessible to the public in a language of choice and in a non-intimidating environment. </w:t>
      </w:r>
    </w:p>
    <w:p w:rsidR="00000000" w:rsidRDefault="00BA4BA8">
      <w:pPr>
        <w:pStyle w:val="CM4"/>
        <w:spacing w:after="120"/>
        <w:jc w:val="both"/>
        <w:rPr>
          <w:rFonts w:cs="Helvetica LT Std"/>
          <w:color w:val="221E1F"/>
          <w:sz w:val="22"/>
          <w:szCs w:val="22"/>
        </w:rPr>
      </w:pPr>
      <w:r>
        <w:rPr>
          <w:rFonts w:cs="Helvetica LT Std"/>
          <w:color w:val="221E1F"/>
          <w:sz w:val="22"/>
          <w:szCs w:val="22"/>
        </w:rPr>
        <w:t xml:space="preserve">Demarcation Disputes </w:t>
      </w:r>
    </w:p>
    <w:p w:rsidR="00000000" w:rsidRDefault="00BA4BA8">
      <w:pPr>
        <w:pStyle w:val="CM2"/>
        <w:jc w:val="both"/>
        <w:rPr>
          <w:rFonts w:ascii="Bembo Std" w:hAnsi="Bembo Std" w:cs="Bembo Std"/>
          <w:color w:val="221E1F"/>
          <w:sz w:val="21"/>
          <w:szCs w:val="21"/>
        </w:rPr>
      </w:pPr>
      <w:r>
        <w:rPr>
          <w:rFonts w:ascii="Bembo Std" w:hAnsi="Bembo Std" w:cs="Bembo Std"/>
          <w:color w:val="221E1F"/>
          <w:sz w:val="21"/>
          <w:szCs w:val="21"/>
        </w:rPr>
        <w:t xml:space="preserve">In </w:t>
      </w:r>
      <w:r>
        <w:rPr>
          <w:rFonts w:ascii="Bembo Std" w:hAnsi="Bembo Std" w:cs="Bembo Std"/>
          <w:i/>
          <w:iCs/>
          <w:color w:val="221E1F"/>
          <w:sz w:val="21"/>
          <w:szCs w:val="21"/>
        </w:rPr>
        <w:t xml:space="preserve">Workforce Group (Pty) Ltd v </w:t>
      </w:r>
      <w:proofErr w:type="spellStart"/>
      <w:r>
        <w:rPr>
          <w:rFonts w:ascii="Bembo Std" w:hAnsi="Bembo Std" w:cs="Bembo Std"/>
          <w:i/>
          <w:iCs/>
          <w:color w:val="221E1F"/>
          <w:sz w:val="21"/>
          <w:szCs w:val="21"/>
        </w:rPr>
        <w:t>Deyzel</w:t>
      </w:r>
      <w:proofErr w:type="spellEnd"/>
      <w:r>
        <w:rPr>
          <w:rFonts w:ascii="Bembo Std" w:hAnsi="Bembo Std" w:cs="Bembo Std"/>
          <w:i/>
          <w:iCs/>
          <w:color w:val="221E1F"/>
          <w:sz w:val="21"/>
          <w:szCs w:val="21"/>
        </w:rPr>
        <w:t xml:space="preserve"> NO &amp; others </w:t>
      </w:r>
      <w:r>
        <w:rPr>
          <w:rFonts w:ascii="Bembo Std" w:hAnsi="Bembo Std" w:cs="Bembo Std"/>
          <w:color w:val="221E1F"/>
          <w:sz w:val="21"/>
          <w:szCs w:val="21"/>
        </w:rPr>
        <w:t xml:space="preserve">(at 2173) the Labour </w:t>
      </w:r>
      <w:r>
        <w:rPr>
          <w:rFonts w:ascii="Bembo Std" w:hAnsi="Bembo Std" w:cs="Bembo Std"/>
          <w:color w:val="221E1F"/>
          <w:sz w:val="21"/>
          <w:szCs w:val="21"/>
        </w:rPr>
        <w:t xml:space="preserve">Court found that there was no law or practice that a demarcation dispute had to be referred to conciliation before it could be heard. The court also followed earlier authority that found that employees of a temporary employment service who are placed with </w:t>
      </w:r>
      <w:r>
        <w:rPr>
          <w:rFonts w:ascii="Bembo Std" w:hAnsi="Bembo Std" w:cs="Bembo Std"/>
          <w:color w:val="221E1F"/>
          <w:sz w:val="21"/>
          <w:szCs w:val="21"/>
        </w:rPr>
        <w:t xml:space="preserve">a client are not involved or associated in a common purpose with the TES in the conduct of its own business activities, but fall within the sector and within the registered scope of the bargaining council to which the client belongs. </w:t>
      </w:r>
    </w:p>
    <w:p w:rsidR="00000000" w:rsidRDefault="00BA4BA8">
      <w:pPr>
        <w:pStyle w:val="CM4"/>
        <w:spacing w:after="120" w:line="243" w:lineRule="atLeast"/>
        <w:ind w:firstLine="210"/>
        <w:jc w:val="both"/>
        <w:rPr>
          <w:rFonts w:ascii="Bembo Std" w:hAnsi="Bembo Std" w:cs="Bembo Std"/>
          <w:color w:val="221E1F"/>
          <w:sz w:val="21"/>
          <w:szCs w:val="21"/>
        </w:rPr>
      </w:pPr>
      <w:r>
        <w:rPr>
          <w:rFonts w:ascii="Bembo Std" w:hAnsi="Bembo Std" w:cs="Bembo Std"/>
          <w:color w:val="221E1F"/>
          <w:sz w:val="21"/>
          <w:szCs w:val="21"/>
        </w:rPr>
        <w:t xml:space="preserve">In </w:t>
      </w:r>
      <w:r>
        <w:rPr>
          <w:rFonts w:ascii="Bembo Std" w:hAnsi="Bembo Std" w:cs="Bembo Std"/>
          <w:i/>
          <w:iCs/>
          <w:color w:val="221E1F"/>
          <w:sz w:val="21"/>
          <w:szCs w:val="21"/>
        </w:rPr>
        <w:t>Workforce Group (P</w:t>
      </w:r>
      <w:r>
        <w:rPr>
          <w:rFonts w:ascii="Bembo Std" w:hAnsi="Bembo Std" w:cs="Bembo Std"/>
          <w:i/>
          <w:iCs/>
          <w:color w:val="221E1F"/>
          <w:sz w:val="21"/>
          <w:szCs w:val="21"/>
        </w:rPr>
        <w:t xml:space="preserve">ty) Ltd v Van </w:t>
      </w:r>
      <w:proofErr w:type="spellStart"/>
      <w:r>
        <w:rPr>
          <w:rFonts w:ascii="Bembo Std" w:hAnsi="Bembo Std" w:cs="Bembo Std"/>
          <w:i/>
          <w:iCs/>
          <w:color w:val="221E1F"/>
          <w:sz w:val="21"/>
          <w:szCs w:val="21"/>
        </w:rPr>
        <w:t>Zyl</w:t>
      </w:r>
      <w:proofErr w:type="spellEnd"/>
      <w:r>
        <w:rPr>
          <w:rFonts w:ascii="Bembo Std" w:hAnsi="Bembo Std" w:cs="Bembo Std"/>
          <w:i/>
          <w:iCs/>
          <w:color w:val="221E1F"/>
          <w:sz w:val="21"/>
          <w:szCs w:val="21"/>
        </w:rPr>
        <w:t xml:space="preserve"> NO &amp; others </w:t>
      </w:r>
      <w:r>
        <w:rPr>
          <w:rFonts w:ascii="Bembo Std" w:hAnsi="Bembo Std" w:cs="Bembo Std"/>
          <w:color w:val="221E1F"/>
          <w:sz w:val="21"/>
          <w:szCs w:val="21"/>
        </w:rPr>
        <w:t>(at 2182) the Labour Court found that the employer could not, in enforcement proceedings in terms of s 33A of the LRA, seek the adjournment of the proceedings in terms of s 62(3A) on the basis that the collective agreement was</w:t>
      </w:r>
      <w:r>
        <w:rPr>
          <w:rFonts w:ascii="Bembo Std" w:hAnsi="Bembo Std" w:cs="Bembo Std"/>
          <w:color w:val="221E1F"/>
          <w:sz w:val="21"/>
          <w:szCs w:val="21"/>
        </w:rPr>
        <w:t xml:space="preserve"> ultra vires. Section 62(1</w:t>
      </w:r>
      <w:proofErr w:type="gramStart"/>
      <w:r>
        <w:rPr>
          <w:rFonts w:ascii="Bembo Std" w:hAnsi="Bembo Std" w:cs="Bembo Std"/>
          <w:color w:val="221E1F"/>
          <w:sz w:val="21"/>
          <w:szCs w:val="21"/>
        </w:rPr>
        <w:t>)</w:t>
      </w:r>
      <w:r>
        <w:rPr>
          <w:rFonts w:ascii="Bembo Std" w:hAnsi="Bembo Std" w:cs="Bembo Std"/>
          <w:i/>
          <w:iCs/>
          <w:color w:val="221E1F"/>
          <w:sz w:val="21"/>
          <w:szCs w:val="21"/>
        </w:rPr>
        <w:t>(</w:t>
      </w:r>
      <w:proofErr w:type="gramEnd"/>
      <w:r>
        <w:rPr>
          <w:rFonts w:ascii="Bembo Std" w:hAnsi="Bembo Std" w:cs="Bembo Std"/>
          <w:i/>
          <w:iCs/>
          <w:color w:val="221E1F"/>
          <w:sz w:val="21"/>
          <w:szCs w:val="21"/>
        </w:rPr>
        <w:t>b)</w:t>
      </w:r>
      <w:r>
        <w:rPr>
          <w:rFonts w:ascii="Bembo Std" w:hAnsi="Bembo Std" w:cs="Bembo Std"/>
          <w:color w:val="221E1F"/>
          <w:sz w:val="21"/>
          <w:szCs w:val="21"/>
        </w:rPr>
        <w:t xml:space="preserve"> was not applicable to a challenge to the validity or lawfulness of an agreement itself. Furthermore, an application for adjournment in terms of s 62(3A) could only be sought pending the finalisation of a demarcation dispute a</w:t>
      </w:r>
      <w:r>
        <w:rPr>
          <w:rFonts w:ascii="Bembo Std" w:hAnsi="Bembo Std" w:cs="Bembo Std"/>
          <w:color w:val="221E1F"/>
          <w:sz w:val="21"/>
          <w:szCs w:val="21"/>
        </w:rPr>
        <w:t xml:space="preserve">nd, in this matter, there had been no referral of a demarcation dispute to the CCMA. </w:t>
      </w:r>
    </w:p>
    <w:p w:rsidR="00000000" w:rsidRDefault="00BA4BA8">
      <w:pPr>
        <w:pStyle w:val="CM4"/>
        <w:spacing w:after="120"/>
        <w:jc w:val="both"/>
        <w:rPr>
          <w:rFonts w:cs="Helvetica LT Std"/>
          <w:color w:val="221E1F"/>
          <w:sz w:val="22"/>
          <w:szCs w:val="22"/>
        </w:rPr>
      </w:pPr>
      <w:r>
        <w:rPr>
          <w:rFonts w:cs="Helvetica LT Std"/>
          <w:color w:val="221E1F"/>
          <w:sz w:val="22"/>
          <w:szCs w:val="22"/>
        </w:rPr>
        <w:t xml:space="preserve">Dismissal — Failure to Disclose Material Information </w:t>
      </w:r>
    </w:p>
    <w:p w:rsidR="00000000" w:rsidRDefault="00BA4BA8">
      <w:pPr>
        <w:pStyle w:val="CM2"/>
        <w:jc w:val="both"/>
        <w:rPr>
          <w:rFonts w:ascii="Bembo Std" w:hAnsi="Bembo Std" w:cs="Bembo Std"/>
          <w:color w:val="221E1F"/>
          <w:sz w:val="21"/>
          <w:szCs w:val="21"/>
        </w:rPr>
      </w:pPr>
      <w:r>
        <w:rPr>
          <w:rFonts w:ascii="Bembo Std" w:hAnsi="Bembo Std" w:cs="Bembo Std"/>
          <w:color w:val="221E1F"/>
          <w:sz w:val="21"/>
          <w:szCs w:val="21"/>
        </w:rPr>
        <w:t>Where an employee had been dismissed for failure to disclose to the employer that he had previously been dismissed b</w:t>
      </w:r>
      <w:r>
        <w:rPr>
          <w:rFonts w:ascii="Bembo Std" w:hAnsi="Bembo Std" w:cs="Bembo Std"/>
          <w:color w:val="221E1F"/>
          <w:sz w:val="21"/>
          <w:szCs w:val="21"/>
        </w:rPr>
        <w:t>y the same employer, a CCMA commissioner found that the information had not been within the exclusive knowledge of the employee; that there had been no duty on the employee to disclose the information; and that his failure to disclose did not amount to mis</w:t>
      </w:r>
      <w:r>
        <w:rPr>
          <w:rFonts w:ascii="Bembo Std" w:hAnsi="Bembo Std" w:cs="Bembo Std"/>
          <w:color w:val="221E1F"/>
          <w:sz w:val="21"/>
          <w:szCs w:val="21"/>
        </w:rPr>
        <w:t>representation or dishonest conduct (</w:t>
      </w:r>
      <w:proofErr w:type="spellStart"/>
      <w:r>
        <w:rPr>
          <w:rFonts w:ascii="Bembo Std" w:hAnsi="Bembo Std" w:cs="Bembo Std"/>
          <w:i/>
          <w:iCs/>
          <w:color w:val="221E1F"/>
          <w:sz w:val="21"/>
          <w:szCs w:val="21"/>
        </w:rPr>
        <w:t>Muifha</w:t>
      </w:r>
      <w:proofErr w:type="spellEnd"/>
      <w:r>
        <w:rPr>
          <w:rFonts w:ascii="Bembo Std" w:hAnsi="Bembo Std" w:cs="Bembo Std"/>
          <w:i/>
          <w:iCs/>
          <w:color w:val="221E1F"/>
          <w:sz w:val="21"/>
          <w:szCs w:val="21"/>
        </w:rPr>
        <w:t xml:space="preserve"> and Capital Outsourcing Group</w:t>
      </w:r>
      <w:r>
        <w:rPr>
          <w:rFonts w:ascii="Bembo Std" w:hAnsi="Bembo Std" w:cs="Bembo Std"/>
          <w:color w:val="221E1F"/>
          <w:sz w:val="21"/>
          <w:szCs w:val="21"/>
        </w:rPr>
        <w:t xml:space="preserve"> at 2214). </w:t>
      </w:r>
    </w:p>
    <w:p w:rsidR="00000000" w:rsidRDefault="00BA4BA8">
      <w:pPr>
        <w:pStyle w:val="CM4"/>
        <w:pageBreakBefore/>
        <w:spacing w:after="120"/>
        <w:jc w:val="both"/>
        <w:rPr>
          <w:rFonts w:cs="Helvetica LT Std"/>
          <w:color w:val="221E1F"/>
          <w:sz w:val="22"/>
          <w:szCs w:val="22"/>
        </w:rPr>
      </w:pPr>
      <w:r>
        <w:rPr>
          <w:rFonts w:cs="Helvetica LT Std"/>
          <w:color w:val="221E1F"/>
          <w:sz w:val="22"/>
          <w:szCs w:val="22"/>
        </w:rPr>
        <w:lastRenderedPageBreak/>
        <w:t xml:space="preserve">Review of CCMA Awards </w:t>
      </w:r>
    </w:p>
    <w:p w:rsidR="00000000" w:rsidRDefault="00BA4BA8">
      <w:pPr>
        <w:pStyle w:val="CM5"/>
        <w:spacing w:after="230" w:line="246" w:lineRule="atLeast"/>
        <w:jc w:val="both"/>
        <w:rPr>
          <w:rFonts w:ascii="Bembo Std" w:hAnsi="Bembo Std" w:cs="Bembo Std"/>
          <w:color w:val="221E1F"/>
          <w:sz w:val="21"/>
          <w:szCs w:val="21"/>
        </w:rPr>
      </w:pPr>
      <w:r>
        <w:rPr>
          <w:rFonts w:ascii="Bembo Std" w:hAnsi="Bembo Std" w:cs="Bembo Std"/>
          <w:color w:val="221E1F"/>
          <w:sz w:val="21"/>
          <w:szCs w:val="21"/>
        </w:rPr>
        <w:t>Where a CCMA commissioner, faced with conflicting versions by the employer’s and the employee’s witnesses, decided the dispute on the basis of the o</w:t>
      </w:r>
      <w:r>
        <w:rPr>
          <w:rFonts w:ascii="Bembo Std" w:hAnsi="Bembo Std" w:cs="Bembo Std"/>
          <w:color w:val="221E1F"/>
          <w:sz w:val="21"/>
          <w:szCs w:val="21"/>
        </w:rPr>
        <w:t>nus of proof, the Labour Court found on review that the commissioner had misconceived the nature of the enquiry and his duties as a commissioner. The commissioner ought to have accepted that both versions were mutually destructive and that both could not s</w:t>
      </w:r>
      <w:r>
        <w:rPr>
          <w:rFonts w:ascii="Bembo Std" w:hAnsi="Bembo Std" w:cs="Bembo Std"/>
          <w:color w:val="221E1F"/>
          <w:sz w:val="21"/>
          <w:szCs w:val="21"/>
        </w:rPr>
        <w:t>tand, and should then have assessed the credibility of the witnesses, their reliability, and the probabilities before finally determining whether the onus of proof had been discharged (</w:t>
      </w:r>
      <w:proofErr w:type="spellStart"/>
      <w:r>
        <w:rPr>
          <w:rFonts w:ascii="Bembo Std" w:hAnsi="Bembo Std" w:cs="Bembo Std"/>
          <w:i/>
          <w:iCs/>
          <w:color w:val="221E1F"/>
          <w:sz w:val="21"/>
          <w:szCs w:val="21"/>
        </w:rPr>
        <w:t>Assmang</w:t>
      </w:r>
      <w:proofErr w:type="spellEnd"/>
      <w:r>
        <w:rPr>
          <w:rFonts w:ascii="Bembo Std" w:hAnsi="Bembo Std" w:cs="Bembo Std"/>
          <w:i/>
          <w:iCs/>
          <w:color w:val="221E1F"/>
          <w:sz w:val="21"/>
          <w:szCs w:val="21"/>
        </w:rPr>
        <w:t xml:space="preserve"> (</w:t>
      </w:r>
      <w:proofErr w:type="spellStart"/>
      <w:r>
        <w:rPr>
          <w:rFonts w:ascii="Bembo Std" w:hAnsi="Bembo Std" w:cs="Bembo Std"/>
          <w:i/>
          <w:iCs/>
          <w:color w:val="221E1F"/>
          <w:sz w:val="21"/>
          <w:szCs w:val="21"/>
        </w:rPr>
        <w:t>Assmang</w:t>
      </w:r>
      <w:proofErr w:type="spellEnd"/>
      <w:r>
        <w:rPr>
          <w:rFonts w:ascii="Bembo Std" w:hAnsi="Bembo Std" w:cs="Bembo Std"/>
          <w:i/>
          <w:iCs/>
          <w:color w:val="221E1F"/>
          <w:sz w:val="21"/>
          <w:szCs w:val="21"/>
        </w:rPr>
        <w:t xml:space="preserve"> Chrome </w:t>
      </w:r>
      <w:proofErr w:type="spellStart"/>
      <w:r>
        <w:rPr>
          <w:rFonts w:ascii="Bembo Std" w:hAnsi="Bembo Std" w:cs="Bembo Std"/>
          <w:i/>
          <w:iCs/>
          <w:color w:val="221E1F"/>
          <w:sz w:val="21"/>
          <w:szCs w:val="21"/>
        </w:rPr>
        <w:t>Dwarsriver</w:t>
      </w:r>
      <w:proofErr w:type="spellEnd"/>
      <w:r>
        <w:rPr>
          <w:rFonts w:ascii="Bembo Std" w:hAnsi="Bembo Std" w:cs="Bembo Std"/>
          <w:i/>
          <w:iCs/>
          <w:color w:val="221E1F"/>
          <w:sz w:val="21"/>
          <w:szCs w:val="21"/>
        </w:rPr>
        <w:t xml:space="preserve"> Mine) v Commission for Conciliation,</w:t>
      </w:r>
      <w:r>
        <w:rPr>
          <w:rFonts w:ascii="Bembo Std" w:hAnsi="Bembo Std" w:cs="Bembo Std"/>
          <w:i/>
          <w:iCs/>
          <w:color w:val="221E1F"/>
          <w:sz w:val="21"/>
          <w:szCs w:val="21"/>
        </w:rPr>
        <w:t xml:space="preserve"> Mediation &amp; Arbitration &amp; others </w:t>
      </w:r>
      <w:r>
        <w:rPr>
          <w:rFonts w:ascii="Bembo Std" w:hAnsi="Bembo Std" w:cs="Bembo Std"/>
          <w:color w:val="221E1F"/>
          <w:sz w:val="21"/>
          <w:szCs w:val="21"/>
        </w:rPr>
        <w:t xml:space="preserve">at 2070). In </w:t>
      </w:r>
      <w:proofErr w:type="spellStart"/>
      <w:r>
        <w:rPr>
          <w:rFonts w:ascii="Bembo Std" w:hAnsi="Bembo Std" w:cs="Bembo Std"/>
          <w:i/>
          <w:iCs/>
          <w:color w:val="221E1F"/>
          <w:sz w:val="21"/>
          <w:szCs w:val="21"/>
        </w:rPr>
        <w:t>Mokoena</w:t>
      </w:r>
      <w:proofErr w:type="spellEnd"/>
      <w:r>
        <w:rPr>
          <w:rFonts w:ascii="Bembo Std" w:hAnsi="Bembo Std" w:cs="Bembo Std"/>
          <w:i/>
          <w:iCs/>
          <w:color w:val="221E1F"/>
          <w:sz w:val="21"/>
          <w:szCs w:val="21"/>
        </w:rPr>
        <w:t xml:space="preserve"> and Murray &amp; Roberts Cementation (Pty) Ltd </w:t>
      </w:r>
      <w:r>
        <w:rPr>
          <w:rFonts w:ascii="Bembo Std" w:hAnsi="Bembo Std" w:cs="Bembo Std"/>
          <w:color w:val="221E1F"/>
          <w:sz w:val="21"/>
          <w:szCs w:val="21"/>
        </w:rPr>
        <w:t>(at 2203) a CCMA commissioner confronted with two competing versions, assessed the credibility of the witnesses, their reliability and the probabilities of th</w:t>
      </w:r>
      <w:r>
        <w:rPr>
          <w:rFonts w:ascii="Bembo Std" w:hAnsi="Bembo Std" w:cs="Bembo Std"/>
          <w:color w:val="221E1F"/>
          <w:sz w:val="21"/>
          <w:szCs w:val="21"/>
        </w:rPr>
        <w:t xml:space="preserve">eir respective versions and concluded that the probabilities supported the employer’s version that the employee, an HR officer, had solicited payment in return for providing employment. </w:t>
      </w:r>
    </w:p>
    <w:p w:rsidR="00000000" w:rsidRDefault="00BA4BA8">
      <w:pPr>
        <w:pStyle w:val="CM4"/>
        <w:spacing w:after="120"/>
        <w:jc w:val="both"/>
        <w:rPr>
          <w:rFonts w:cs="Helvetica LT Std"/>
          <w:color w:val="221E1F"/>
          <w:sz w:val="22"/>
          <w:szCs w:val="22"/>
        </w:rPr>
      </w:pPr>
      <w:r>
        <w:rPr>
          <w:rFonts w:cs="Helvetica LT Std"/>
          <w:color w:val="221E1F"/>
          <w:sz w:val="22"/>
          <w:szCs w:val="22"/>
        </w:rPr>
        <w:t xml:space="preserve">Practice and Procedure </w:t>
      </w:r>
    </w:p>
    <w:p w:rsidR="00000000" w:rsidRDefault="00BA4BA8">
      <w:pPr>
        <w:pStyle w:val="CM2"/>
        <w:jc w:val="both"/>
        <w:rPr>
          <w:rFonts w:ascii="Bembo Std" w:hAnsi="Bembo Std" w:cs="Bembo Std"/>
          <w:color w:val="221E1F"/>
          <w:sz w:val="21"/>
          <w:szCs w:val="21"/>
        </w:rPr>
      </w:pPr>
      <w:r>
        <w:rPr>
          <w:rFonts w:ascii="Bembo Std" w:hAnsi="Bembo Std" w:cs="Bembo Std"/>
          <w:color w:val="221E1F"/>
          <w:sz w:val="21"/>
          <w:szCs w:val="21"/>
        </w:rPr>
        <w:t>In two matters the Labour Appeal Court consid</w:t>
      </w:r>
      <w:r>
        <w:rPr>
          <w:rFonts w:ascii="Bembo Std" w:hAnsi="Bembo Std" w:cs="Bembo Std"/>
          <w:color w:val="221E1F"/>
          <w:sz w:val="21"/>
          <w:szCs w:val="21"/>
        </w:rPr>
        <w:t>ered when it would exercise its discretion to hear an appeal despite the mootness of the matter. It confirmed that it would do so where a discrete legal issue of public importance has arisen that will affect matters in the future and on which the adjudicat</w:t>
      </w:r>
      <w:r>
        <w:rPr>
          <w:rFonts w:ascii="Bembo Std" w:hAnsi="Bembo Std" w:cs="Bembo Std"/>
          <w:color w:val="221E1F"/>
          <w:sz w:val="21"/>
          <w:szCs w:val="21"/>
        </w:rPr>
        <w:t xml:space="preserve">ion of the court is required. In </w:t>
      </w:r>
      <w:r>
        <w:rPr>
          <w:rFonts w:ascii="Bembo Std" w:hAnsi="Bembo Std" w:cs="Bembo Std"/>
          <w:i/>
          <w:iCs/>
          <w:color w:val="221E1F"/>
          <w:sz w:val="21"/>
          <w:szCs w:val="21"/>
        </w:rPr>
        <w:t xml:space="preserve">Karoo </w:t>
      </w:r>
      <w:proofErr w:type="spellStart"/>
      <w:r>
        <w:rPr>
          <w:rFonts w:ascii="Bembo Std" w:hAnsi="Bembo Std" w:cs="Bembo Std"/>
          <w:i/>
          <w:iCs/>
          <w:color w:val="221E1F"/>
          <w:sz w:val="21"/>
          <w:szCs w:val="21"/>
        </w:rPr>
        <w:t>Hoogland</w:t>
      </w:r>
      <w:proofErr w:type="spellEnd"/>
      <w:r>
        <w:rPr>
          <w:rFonts w:ascii="Bembo Std" w:hAnsi="Bembo Std" w:cs="Bembo Std"/>
          <w:i/>
          <w:iCs/>
          <w:color w:val="221E1F"/>
          <w:sz w:val="21"/>
          <w:szCs w:val="21"/>
        </w:rPr>
        <w:t xml:space="preserve"> Municipality v </w:t>
      </w:r>
      <w:proofErr w:type="spellStart"/>
      <w:r>
        <w:rPr>
          <w:rFonts w:ascii="Bembo Std" w:hAnsi="Bembo Std" w:cs="Bembo Std"/>
          <w:i/>
          <w:iCs/>
          <w:color w:val="221E1F"/>
          <w:sz w:val="21"/>
          <w:szCs w:val="21"/>
        </w:rPr>
        <w:t>Nothnagel</w:t>
      </w:r>
      <w:proofErr w:type="spellEnd"/>
      <w:r>
        <w:rPr>
          <w:rFonts w:ascii="Bembo Std" w:hAnsi="Bembo Std" w:cs="Bembo Std"/>
          <w:i/>
          <w:iCs/>
          <w:color w:val="221E1F"/>
          <w:sz w:val="21"/>
          <w:szCs w:val="21"/>
        </w:rPr>
        <w:t xml:space="preserve"> &amp; another </w:t>
      </w:r>
      <w:r>
        <w:rPr>
          <w:rFonts w:ascii="Bembo Std" w:hAnsi="Bembo Std" w:cs="Bembo Std"/>
          <w:color w:val="221E1F"/>
          <w:sz w:val="21"/>
          <w:szCs w:val="21"/>
        </w:rPr>
        <w:t xml:space="preserve">(at 2021) the court considered the appeal because it was not in the public interest to leave uncorrected the Labour Court’s incorrect dicta on the doctrine in </w:t>
      </w:r>
      <w:proofErr w:type="spellStart"/>
      <w:r>
        <w:rPr>
          <w:rFonts w:ascii="Bembo Std" w:hAnsi="Bembo Std" w:cs="Bembo Std"/>
          <w:i/>
          <w:iCs/>
          <w:color w:val="221E1F"/>
          <w:sz w:val="21"/>
          <w:szCs w:val="21"/>
        </w:rPr>
        <w:t>Oudekraal</w:t>
      </w:r>
      <w:proofErr w:type="spellEnd"/>
      <w:r>
        <w:rPr>
          <w:rFonts w:ascii="Bembo Std" w:hAnsi="Bembo Std" w:cs="Bembo Std"/>
          <w:i/>
          <w:iCs/>
          <w:color w:val="221E1F"/>
          <w:sz w:val="21"/>
          <w:szCs w:val="21"/>
        </w:rPr>
        <w:t xml:space="preserve"> Esta</w:t>
      </w:r>
      <w:r>
        <w:rPr>
          <w:rFonts w:ascii="Bembo Std" w:hAnsi="Bembo Std" w:cs="Bembo Std"/>
          <w:i/>
          <w:iCs/>
          <w:color w:val="221E1F"/>
          <w:sz w:val="21"/>
          <w:szCs w:val="21"/>
        </w:rPr>
        <w:t xml:space="preserve">tes (Pty) Ltd v City of Cape Town &amp; others </w:t>
      </w:r>
      <w:r>
        <w:rPr>
          <w:rFonts w:ascii="Bembo Std" w:hAnsi="Bembo Std" w:cs="Bembo Std"/>
          <w:color w:val="221E1F"/>
          <w:sz w:val="21"/>
          <w:szCs w:val="21"/>
        </w:rPr>
        <w:t xml:space="preserve">2004 (6) SA 222 (SCA). However, in </w:t>
      </w:r>
      <w:r>
        <w:rPr>
          <w:rFonts w:ascii="Bembo Std" w:hAnsi="Bembo Std" w:cs="Bembo Std"/>
          <w:i/>
          <w:iCs/>
          <w:color w:val="221E1F"/>
          <w:sz w:val="21"/>
          <w:szCs w:val="21"/>
        </w:rPr>
        <w:t xml:space="preserve">National Employers’ Association of SA v Metal &amp; Engineering Industries Bargaining Council &amp; others </w:t>
      </w:r>
    </w:p>
    <w:p w:rsidR="00000000" w:rsidRDefault="00BA4BA8">
      <w:pPr>
        <w:pStyle w:val="CM2"/>
        <w:jc w:val="both"/>
        <w:rPr>
          <w:rFonts w:ascii="Bembo Std" w:hAnsi="Bembo Std" w:cs="Bembo Std"/>
          <w:color w:val="221E1F"/>
          <w:sz w:val="21"/>
          <w:szCs w:val="21"/>
        </w:rPr>
      </w:pPr>
      <w:r>
        <w:rPr>
          <w:rFonts w:ascii="Bembo Std" w:hAnsi="Bembo Std" w:cs="Bembo Std"/>
          <w:color w:val="221E1F"/>
          <w:sz w:val="21"/>
          <w:szCs w:val="21"/>
        </w:rPr>
        <w:t>(</w:t>
      </w:r>
      <w:proofErr w:type="gramStart"/>
      <w:r>
        <w:rPr>
          <w:rFonts w:ascii="Bembo Std" w:hAnsi="Bembo Std" w:cs="Bembo Std"/>
          <w:color w:val="221E1F"/>
          <w:sz w:val="21"/>
          <w:szCs w:val="21"/>
        </w:rPr>
        <w:t>at</w:t>
      </w:r>
      <w:proofErr w:type="gramEnd"/>
      <w:r>
        <w:rPr>
          <w:rFonts w:ascii="Bembo Std" w:hAnsi="Bembo Std" w:cs="Bembo Std"/>
          <w:color w:val="221E1F"/>
          <w:sz w:val="21"/>
          <w:szCs w:val="21"/>
        </w:rPr>
        <w:t xml:space="preserve"> 2032) the court found that a judgment from it was not required because the</w:t>
      </w:r>
      <w:r>
        <w:rPr>
          <w:rFonts w:ascii="Bembo Std" w:hAnsi="Bembo Std" w:cs="Bembo Std"/>
          <w:color w:val="221E1F"/>
          <w:sz w:val="21"/>
          <w:szCs w:val="21"/>
        </w:rPr>
        <w:t xml:space="preserve">re was contemporaneous and incomplete litigation on the identical issue before the Labour Court. It, therefore, declined to exercise its discretion in favour of hearing the legal question and dismissed the appeal for mootness. </w:t>
      </w:r>
    </w:p>
    <w:p w:rsidR="00000000" w:rsidRDefault="00BA4BA8">
      <w:pPr>
        <w:pStyle w:val="CM3"/>
        <w:ind w:firstLine="210"/>
        <w:jc w:val="both"/>
        <w:rPr>
          <w:rFonts w:ascii="Bembo Std" w:hAnsi="Bembo Std" w:cs="Bembo Std"/>
          <w:color w:val="221E1F"/>
          <w:sz w:val="21"/>
          <w:szCs w:val="21"/>
        </w:rPr>
      </w:pPr>
      <w:r>
        <w:rPr>
          <w:rFonts w:ascii="Bembo Std" w:hAnsi="Bembo Std" w:cs="Bembo Std"/>
          <w:color w:val="221E1F"/>
          <w:sz w:val="21"/>
          <w:szCs w:val="21"/>
        </w:rPr>
        <w:t>In an application for absolu</w:t>
      </w:r>
      <w:r>
        <w:rPr>
          <w:rFonts w:ascii="Bembo Std" w:hAnsi="Bembo Std" w:cs="Bembo Std"/>
          <w:color w:val="221E1F"/>
          <w:sz w:val="21"/>
          <w:szCs w:val="21"/>
        </w:rPr>
        <w:t>tion from the instance the Labour Court, after restating the principles applicable, found that the employees had not even established that there had been a dismissal on the date alleged, much less that they had been locked out to compel them to accept a de</w:t>
      </w:r>
      <w:r>
        <w:rPr>
          <w:rFonts w:ascii="Bembo Std" w:hAnsi="Bembo Std" w:cs="Bembo Std"/>
          <w:color w:val="221E1F"/>
          <w:sz w:val="21"/>
          <w:szCs w:val="21"/>
        </w:rPr>
        <w:t>mand. As they had led no evidence to bring their claim within the scope of an automatically unfair dismissal in terms of s 187(1</w:t>
      </w:r>
      <w:proofErr w:type="gramStart"/>
      <w:r>
        <w:rPr>
          <w:rFonts w:ascii="Bembo Std" w:hAnsi="Bembo Std" w:cs="Bembo Std"/>
          <w:color w:val="221E1F"/>
          <w:sz w:val="21"/>
          <w:szCs w:val="21"/>
        </w:rPr>
        <w:t>)</w:t>
      </w:r>
      <w:r>
        <w:rPr>
          <w:rFonts w:ascii="Bembo Std" w:hAnsi="Bembo Std" w:cs="Bembo Std"/>
          <w:i/>
          <w:iCs/>
          <w:color w:val="221E1F"/>
          <w:sz w:val="21"/>
          <w:szCs w:val="21"/>
        </w:rPr>
        <w:t>(</w:t>
      </w:r>
      <w:proofErr w:type="gramEnd"/>
      <w:r>
        <w:rPr>
          <w:rFonts w:ascii="Bembo Std" w:hAnsi="Bembo Std" w:cs="Bembo Std"/>
          <w:i/>
          <w:iCs/>
          <w:color w:val="221E1F"/>
          <w:sz w:val="21"/>
          <w:szCs w:val="21"/>
        </w:rPr>
        <w:t>c)</w:t>
      </w:r>
      <w:r>
        <w:rPr>
          <w:rFonts w:ascii="Bembo Std" w:hAnsi="Bembo Std" w:cs="Bembo Std"/>
          <w:color w:val="221E1F"/>
          <w:sz w:val="21"/>
          <w:szCs w:val="21"/>
        </w:rPr>
        <w:t xml:space="preserve"> of the LRA 1995, the application for absolution had to succeed (</w:t>
      </w:r>
      <w:r>
        <w:rPr>
          <w:rFonts w:ascii="Bembo Std" w:hAnsi="Bembo Std" w:cs="Bembo Std"/>
          <w:i/>
          <w:iCs/>
          <w:color w:val="221E1F"/>
          <w:sz w:val="21"/>
          <w:szCs w:val="21"/>
        </w:rPr>
        <w:t xml:space="preserve">Commercial Stevedoring Agricultural &amp; Allied Workers Union </w:t>
      </w:r>
      <w:r>
        <w:rPr>
          <w:rFonts w:ascii="Bembo Std" w:hAnsi="Bembo Std" w:cs="Bembo Std"/>
          <w:i/>
          <w:iCs/>
          <w:color w:val="221E1F"/>
          <w:sz w:val="21"/>
          <w:szCs w:val="21"/>
        </w:rPr>
        <w:t xml:space="preserve">on behalf of </w:t>
      </w:r>
      <w:proofErr w:type="spellStart"/>
      <w:r>
        <w:rPr>
          <w:rFonts w:ascii="Bembo Std" w:hAnsi="Bembo Std" w:cs="Bembo Std"/>
          <w:i/>
          <w:iCs/>
          <w:color w:val="221E1F"/>
          <w:sz w:val="21"/>
          <w:szCs w:val="21"/>
        </w:rPr>
        <w:t>Dube</w:t>
      </w:r>
      <w:proofErr w:type="spellEnd"/>
      <w:r>
        <w:rPr>
          <w:rFonts w:ascii="Bembo Std" w:hAnsi="Bembo Std" w:cs="Bembo Std"/>
          <w:i/>
          <w:iCs/>
          <w:color w:val="221E1F"/>
          <w:sz w:val="21"/>
          <w:szCs w:val="21"/>
        </w:rPr>
        <w:t xml:space="preserve"> &amp; others v Robertson Abattoir </w:t>
      </w:r>
      <w:r>
        <w:rPr>
          <w:rFonts w:ascii="Bembo Std" w:hAnsi="Bembo Std" w:cs="Bembo Std"/>
          <w:color w:val="221E1F"/>
          <w:sz w:val="21"/>
          <w:szCs w:val="21"/>
        </w:rPr>
        <w:t xml:space="preserve">at 2080). </w:t>
      </w:r>
    </w:p>
    <w:p w:rsidR="00000000" w:rsidRDefault="00BA4BA8">
      <w:pPr>
        <w:pStyle w:val="CM5"/>
        <w:spacing w:after="230" w:line="243" w:lineRule="atLeast"/>
        <w:ind w:firstLine="210"/>
        <w:jc w:val="both"/>
        <w:rPr>
          <w:rFonts w:ascii="Bembo Std" w:hAnsi="Bembo Std" w:cs="Bembo Std"/>
          <w:color w:val="221E1F"/>
          <w:sz w:val="21"/>
          <w:szCs w:val="21"/>
        </w:rPr>
      </w:pPr>
      <w:r>
        <w:rPr>
          <w:rFonts w:ascii="Bembo Std" w:hAnsi="Bembo Std" w:cs="Bembo Std"/>
          <w:color w:val="221E1F"/>
          <w:sz w:val="21"/>
          <w:szCs w:val="21"/>
        </w:rPr>
        <w:t xml:space="preserve">In </w:t>
      </w:r>
      <w:r>
        <w:rPr>
          <w:rFonts w:ascii="Bembo Std" w:hAnsi="Bembo Std" w:cs="Bembo Std"/>
          <w:i/>
          <w:iCs/>
          <w:color w:val="221E1F"/>
          <w:sz w:val="21"/>
          <w:szCs w:val="21"/>
        </w:rPr>
        <w:t xml:space="preserve">Transport &amp; Allied Workers Union of SA v </w:t>
      </w:r>
      <w:proofErr w:type="spellStart"/>
      <w:r>
        <w:rPr>
          <w:rFonts w:ascii="Bembo Std" w:hAnsi="Bembo Std" w:cs="Bembo Std"/>
          <w:i/>
          <w:iCs/>
          <w:color w:val="221E1F"/>
          <w:sz w:val="21"/>
          <w:szCs w:val="21"/>
        </w:rPr>
        <w:t>Algoa</w:t>
      </w:r>
      <w:proofErr w:type="spellEnd"/>
      <w:r>
        <w:rPr>
          <w:rFonts w:ascii="Bembo Std" w:hAnsi="Bembo Std" w:cs="Bembo Std"/>
          <w:i/>
          <w:iCs/>
          <w:color w:val="221E1F"/>
          <w:sz w:val="21"/>
          <w:szCs w:val="21"/>
        </w:rPr>
        <w:t xml:space="preserve"> Bus Co (Pty) Ltd &amp; others </w:t>
      </w:r>
      <w:r>
        <w:rPr>
          <w:rFonts w:ascii="Bembo Std" w:hAnsi="Bembo Std" w:cs="Bembo Std"/>
          <w:color w:val="221E1F"/>
          <w:sz w:val="21"/>
          <w:szCs w:val="21"/>
        </w:rPr>
        <w:t>(at 2148) the Labour Court granted an urgent application by a trade union to stay the execution of a writ where it appear</w:t>
      </w:r>
      <w:r>
        <w:rPr>
          <w:rFonts w:ascii="Bembo Std" w:hAnsi="Bembo Std" w:cs="Bembo Std"/>
          <w:color w:val="221E1F"/>
          <w:sz w:val="21"/>
          <w:szCs w:val="21"/>
        </w:rPr>
        <w:t>ed that another union who was party to the same judgment had secured a stay of execution pending determination of its appeal against the judgment. The court was of the view that it would be iniquitous not to grant the union a reprieve in circumstances wher</w:t>
      </w:r>
      <w:r>
        <w:rPr>
          <w:rFonts w:ascii="Bembo Std" w:hAnsi="Bembo Std" w:cs="Bembo Std"/>
          <w:color w:val="221E1F"/>
          <w:sz w:val="21"/>
          <w:szCs w:val="21"/>
        </w:rPr>
        <w:t xml:space="preserve">e the underlying causa under attack by both unions, albeit acting independently, was the same and arose from the same material facts. </w:t>
      </w:r>
    </w:p>
    <w:p w:rsidR="00000000" w:rsidRDefault="00BA4BA8">
      <w:pPr>
        <w:pStyle w:val="CM4"/>
        <w:pageBreakBefore/>
        <w:spacing w:after="120" w:line="246" w:lineRule="atLeast"/>
        <w:jc w:val="both"/>
        <w:rPr>
          <w:rFonts w:ascii="Bembo Std" w:hAnsi="Bembo Std" w:cs="Bembo Std"/>
          <w:color w:val="221E1F"/>
          <w:sz w:val="21"/>
          <w:szCs w:val="21"/>
        </w:rPr>
      </w:pPr>
      <w:r>
        <w:rPr>
          <w:rFonts w:ascii="Bembo Std" w:hAnsi="Bembo Std" w:cs="Bembo Std"/>
          <w:i/>
          <w:iCs/>
          <w:color w:val="221E1F"/>
          <w:sz w:val="21"/>
          <w:szCs w:val="21"/>
        </w:rPr>
        <w:lastRenderedPageBreak/>
        <w:t xml:space="preserve">Quote of the Month: </w:t>
      </w:r>
    </w:p>
    <w:p w:rsidR="00000000" w:rsidRDefault="00BA4BA8">
      <w:pPr>
        <w:pStyle w:val="CM4"/>
        <w:spacing w:after="120" w:line="246" w:lineRule="atLeast"/>
        <w:jc w:val="both"/>
        <w:rPr>
          <w:rFonts w:ascii="Bembo Std" w:hAnsi="Bembo Std" w:cs="Bembo Std"/>
          <w:color w:val="221E1F"/>
          <w:sz w:val="21"/>
          <w:szCs w:val="21"/>
        </w:rPr>
      </w:pPr>
      <w:r>
        <w:rPr>
          <w:rFonts w:ascii="Bembo Std" w:hAnsi="Bembo Std" w:cs="Bembo Std"/>
          <w:color w:val="221E1F"/>
          <w:sz w:val="21"/>
          <w:szCs w:val="21"/>
        </w:rPr>
        <w:t xml:space="preserve">Venter AJ in </w:t>
      </w:r>
      <w:r>
        <w:rPr>
          <w:rFonts w:ascii="Bembo Std" w:hAnsi="Bembo Std" w:cs="Bembo Std"/>
          <w:i/>
          <w:iCs/>
          <w:color w:val="221E1F"/>
          <w:sz w:val="21"/>
          <w:szCs w:val="21"/>
        </w:rPr>
        <w:t>National Union of Metalworkers of SA &amp; another v Wainwright NO &amp; others</w:t>
      </w:r>
      <w:r>
        <w:rPr>
          <w:rFonts w:ascii="Bembo Std" w:hAnsi="Bembo Std" w:cs="Bembo Std"/>
          <w:color w:val="221E1F"/>
          <w:sz w:val="21"/>
          <w:szCs w:val="21"/>
        </w:rPr>
        <w:t xml:space="preserve"> (2015) 36 </w:t>
      </w:r>
      <w:r>
        <w:rPr>
          <w:rFonts w:ascii="Bembo Std" w:hAnsi="Bembo Std" w:cs="Bembo Std"/>
          <w:i/>
          <w:iCs/>
          <w:color w:val="221E1F"/>
          <w:sz w:val="21"/>
          <w:szCs w:val="21"/>
        </w:rPr>
        <w:t>ILJ</w:t>
      </w:r>
      <w:r>
        <w:rPr>
          <w:rFonts w:ascii="Bembo Std" w:hAnsi="Bembo Std" w:cs="Bembo Std"/>
          <w:color w:val="221E1F"/>
          <w:sz w:val="21"/>
          <w:szCs w:val="21"/>
        </w:rPr>
        <w:t xml:space="preserve"> 2097 (LC): </w:t>
      </w:r>
    </w:p>
    <w:p w:rsidR="00BA4BA8" w:rsidRDefault="00BA4BA8">
      <w:pPr>
        <w:pStyle w:val="CM2"/>
        <w:jc w:val="both"/>
      </w:pPr>
      <w:r>
        <w:rPr>
          <w:rFonts w:ascii="Bembo Std" w:hAnsi="Bembo Std" w:cs="Bembo Std"/>
          <w:color w:val="221E1F"/>
          <w:sz w:val="21"/>
          <w:szCs w:val="21"/>
        </w:rPr>
        <w:t>‘In promoting social justice, commissioners should respect diversity, treat the employee and employer parties appearing before them equally and with respect and dignity, should make them feel welcome, comfortable and not intimidated, conduct t</w:t>
      </w:r>
      <w:r>
        <w:rPr>
          <w:rFonts w:ascii="Bembo Std" w:hAnsi="Bembo Std" w:cs="Bembo Std"/>
          <w:color w:val="221E1F"/>
          <w:sz w:val="21"/>
          <w:szCs w:val="21"/>
        </w:rPr>
        <w:t>hemselves with integrity and impartiality, never appear irritated or impatient with a party and assist the parties in the process where necessary, particularly where a party is unrepresented. A commissioner should conduct him/herself in an even-handed, obj</w:t>
      </w:r>
      <w:r>
        <w:rPr>
          <w:rFonts w:ascii="Bembo Std" w:hAnsi="Bembo Std" w:cs="Bembo Std"/>
          <w:color w:val="221E1F"/>
          <w:sz w:val="21"/>
          <w:szCs w:val="21"/>
        </w:rPr>
        <w:t>ective, courteous and fair manner and should avoid the display of favouritism or bias by either his words or his conduct. ... In addition to promoting social justice, when exercising their powers and functions in terms of s 138(1) of the LRA, commissioners</w:t>
      </w:r>
      <w:r>
        <w:rPr>
          <w:rFonts w:ascii="Bembo Std" w:hAnsi="Bembo Std" w:cs="Bembo Std"/>
          <w:color w:val="221E1F"/>
          <w:sz w:val="21"/>
          <w:szCs w:val="21"/>
        </w:rPr>
        <w:t xml:space="preserve"> of the CCMA and bargaining councils are expected to exhibit certain values and ethics and are expected to conduct not only the arbitration proceedings but also themselves with a high level of integrity.’ </w:t>
      </w:r>
    </w:p>
    <w:sectPr w:rsidR="00BA4BA8">
      <w:pgSz w:w="9400" w:h="14786"/>
      <w:pgMar w:top="9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Bembo Std">
    <w:altName w:val="Bembo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2D0"/>
    <w:rsid w:val="003442D0"/>
    <w:rsid w:val="00BA4B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D7D840-65C2-49A3-8D87-CC0BB9D5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LT Std" w:hAnsi="Helvetica LT Std" w:cs="Helvetica LT Std"/>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2">
    <w:name w:val="CM2"/>
    <w:basedOn w:val="Default"/>
    <w:next w:val="Default"/>
    <w:uiPriority w:val="99"/>
    <w:pPr>
      <w:spacing w:line="246"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dc:description/>
  <cp:lastModifiedBy>Ssaayman</cp:lastModifiedBy>
  <cp:revision>2</cp:revision>
  <dcterms:created xsi:type="dcterms:W3CDTF">2015-08-25T12:59:00Z</dcterms:created>
  <dcterms:modified xsi:type="dcterms:W3CDTF">2015-08-25T12:59:00Z</dcterms:modified>
</cp:coreProperties>
</file>