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C8" w:rsidRDefault="00E83A77" w:rsidP="00655261">
      <w:pPr>
        <w:overflowPunct/>
        <w:autoSpaceDE/>
        <w:adjustRightInd/>
        <w:spacing w:line="480" w:lineRule="auto"/>
        <w:jc w:val="center"/>
        <w:rPr>
          <w:rFonts w:ascii="Verdana" w:hAnsi="Verdana"/>
          <w:b/>
          <w:bCs/>
          <w:color w:val="00B0F0"/>
          <w:sz w:val="10"/>
          <w:szCs w:val="10"/>
          <w:lang w:val="en-ZA" w:eastAsia="en-ZA"/>
        </w:rPr>
      </w:pPr>
      <w:r>
        <w:rPr>
          <w:noProof/>
          <w:color w:val="00FFFF"/>
          <w:lang w:val="en-ZA" w:eastAsia="en-ZA"/>
        </w:rPr>
        <w:drawing>
          <wp:inline distT="0" distB="0" distL="0" distR="0">
            <wp:extent cx="1022350" cy="876300"/>
            <wp:effectExtent l="19050" t="0" r="6350" b="0"/>
            <wp:docPr id="1" name="Picture 1" descr="JUTA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 Law"/>
                    <pic:cNvPicPr>
                      <a:picLocks noChangeAspect="1" noChangeArrowheads="1"/>
                    </pic:cNvPicPr>
                  </pic:nvPicPr>
                  <pic:blipFill>
                    <a:blip r:embed="rId7" cstate="print"/>
                    <a:srcRect/>
                    <a:stretch>
                      <a:fillRect/>
                    </a:stretch>
                  </pic:blipFill>
                  <pic:spPr bwMode="auto">
                    <a:xfrm>
                      <a:off x="0" y="0"/>
                      <a:ext cx="1022350" cy="876300"/>
                    </a:xfrm>
                    <a:prstGeom prst="rect">
                      <a:avLst/>
                    </a:prstGeom>
                    <a:noFill/>
                    <a:ln w="9525">
                      <a:noFill/>
                      <a:miter lim="800000"/>
                      <a:headEnd/>
                      <a:tailEnd/>
                    </a:ln>
                  </pic:spPr>
                </pic:pic>
              </a:graphicData>
            </a:graphic>
          </wp:inline>
        </w:drawing>
      </w:r>
    </w:p>
    <w:p w:rsidR="008B7FC8" w:rsidRPr="000709F1" w:rsidRDefault="008B7FC8" w:rsidP="008B7FC8">
      <w:pPr>
        <w:pStyle w:val="Heading1"/>
        <w:spacing w:before="0" w:beforeAutospacing="0" w:after="0" w:afterAutospacing="0"/>
        <w:ind w:left="720"/>
        <w:jc w:val="center"/>
        <w:rPr>
          <w:rFonts w:ascii="Verdana" w:hAnsi="Verdana"/>
          <w:color w:val="008080"/>
          <w:sz w:val="28"/>
          <w:szCs w:val="28"/>
          <w:lang w:val="en-US"/>
        </w:rPr>
      </w:pPr>
      <w:r>
        <w:rPr>
          <w:rFonts w:ascii="Verdana" w:hAnsi="Verdana"/>
          <w:b w:val="0"/>
          <w:bCs w:val="0"/>
          <w:color w:val="00B0F0"/>
          <w:sz w:val="10"/>
          <w:szCs w:val="10"/>
          <w:lang w:val="en-ZA" w:eastAsia="en-ZA"/>
        </w:rPr>
        <w:br/>
      </w:r>
    </w:p>
    <w:p w:rsidR="00835A75" w:rsidRPr="00655261" w:rsidRDefault="00835A75" w:rsidP="0087026E">
      <w:pPr>
        <w:pStyle w:val="Heading1"/>
        <w:spacing w:before="0" w:beforeAutospacing="0" w:after="0" w:afterAutospacing="0"/>
        <w:ind w:left="720"/>
        <w:rPr>
          <w:rFonts w:ascii="Verdana" w:hAnsi="Verdana"/>
          <w:color w:val="008080"/>
          <w:sz w:val="20"/>
          <w:szCs w:val="20"/>
          <w:lang w:val="en-US"/>
        </w:rPr>
      </w:pPr>
    </w:p>
    <w:p w:rsidR="008B7FC8" w:rsidRDefault="008B7FC8" w:rsidP="008B7FC8">
      <w:pPr>
        <w:pStyle w:val="Heading1"/>
        <w:spacing w:before="0" w:beforeAutospacing="0" w:after="0" w:afterAutospacing="0"/>
        <w:ind w:left="720"/>
        <w:jc w:val="center"/>
        <w:rPr>
          <w:rFonts w:ascii="Verdana" w:hAnsi="Verdana"/>
          <w:color w:val="008080"/>
          <w:sz w:val="32"/>
          <w:szCs w:val="32"/>
        </w:rPr>
      </w:pPr>
      <w:r>
        <w:rPr>
          <w:rFonts w:ascii="Verdana" w:hAnsi="Verdana"/>
          <w:color w:val="008080"/>
          <w:sz w:val="32"/>
          <w:szCs w:val="32"/>
        </w:rPr>
        <w:t>JUTA'S TAX LAW REVIEW</w:t>
      </w:r>
    </w:p>
    <w:p w:rsidR="008B7FC8" w:rsidRDefault="008B7FC8" w:rsidP="008B7FC8">
      <w:pPr>
        <w:pStyle w:val="Heading1"/>
        <w:spacing w:before="0" w:beforeAutospacing="0" w:after="0" w:afterAutospacing="0"/>
        <w:ind w:left="720"/>
        <w:jc w:val="center"/>
        <w:rPr>
          <w:rFonts w:ascii="Verdana" w:hAnsi="Verdana"/>
          <w:color w:val="008080"/>
          <w:sz w:val="32"/>
          <w:szCs w:val="32"/>
        </w:rPr>
      </w:pPr>
    </w:p>
    <w:p w:rsidR="008B7FC8" w:rsidRDefault="005C0ABB" w:rsidP="008B7FC8">
      <w:pPr>
        <w:pStyle w:val="Heading1"/>
        <w:spacing w:before="0" w:beforeAutospacing="0" w:after="0" w:afterAutospacing="0"/>
        <w:ind w:left="720"/>
        <w:jc w:val="center"/>
        <w:rPr>
          <w:rFonts w:ascii="Verdana" w:hAnsi="Verdana"/>
          <w:color w:val="008080"/>
          <w:sz w:val="24"/>
          <w:szCs w:val="24"/>
          <w:lang w:val="en-US"/>
        </w:rPr>
      </w:pPr>
      <w:r>
        <w:rPr>
          <w:rFonts w:ascii="Verdana" w:hAnsi="Verdana"/>
          <w:color w:val="008080"/>
          <w:sz w:val="24"/>
          <w:szCs w:val="24"/>
          <w:lang w:val="en-US"/>
        </w:rPr>
        <w:t>July</w:t>
      </w:r>
      <w:r w:rsidR="008B7FC8">
        <w:rPr>
          <w:rFonts w:ascii="Verdana" w:hAnsi="Verdana"/>
          <w:color w:val="008080"/>
          <w:sz w:val="24"/>
          <w:szCs w:val="24"/>
          <w:lang w:val="en-US"/>
        </w:rPr>
        <w:t xml:space="preserve"> 201</w:t>
      </w:r>
      <w:r w:rsidR="0024519F">
        <w:rPr>
          <w:rFonts w:ascii="Verdana" w:hAnsi="Verdana"/>
          <w:color w:val="008080"/>
          <w:sz w:val="24"/>
          <w:szCs w:val="24"/>
          <w:lang w:val="en-US"/>
        </w:rPr>
        <w:t>5</w:t>
      </w:r>
    </w:p>
    <w:p w:rsidR="008B7FC8" w:rsidRDefault="008B7FC8" w:rsidP="008B7FC8">
      <w:pPr>
        <w:overflowPunct/>
        <w:autoSpaceDE/>
        <w:adjustRightInd/>
        <w:jc w:val="center"/>
        <w:rPr>
          <w:rFonts w:ascii="Verdana" w:hAnsi="Verdana"/>
          <w:b/>
          <w:bCs/>
          <w:color w:val="FF0000"/>
          <w:sz w:val="10"/>
          <w:lang w:val="en-ZA" w:eastAsia="en-ZA"/>
        </w:rPr>
      </w:pPr>
    </w:p>
    <w:p w:rsidR="008B7FC8" w:rsidRDefault="008B7FC8" w:rsidP="008B7FC8">
      <w:pPr>
        <w:overflowPunct/>
        <w:autoSpaceDE/>
        <w:adjustRightInd/>
        <w:jc w:val="right"/>
        <w:rPr>
          <w:rFonts w:ascii="Verdana" w:hAnsi="Verdana"/>
          <w:b/>
          <w:bCs/>
          <w:color w:val="FF0000"/>
          <w:sz w:val="10"/>
          <w:lang w:val="en-ZA" w:eastAsia="en-ZA"/>
        </w:rPr>
      </w:pPr>
    </w:p>
    <w:p w:rsidR="008B7FC8" w:rsidRDefault="008B7FC8" w:rsidP="008B7FC8">
      <w:pPr>
        <w:overflowPunct/>
        <w:autoSpaceDE/>
        <w:adjustRightInd/>
        <w:jc w:val="right"/>
        <w:rPr>
          <w:rFonts w:ascii="Verdana" w:hAnsi="Verdana"/>
          <w:b/>
          <w:bCs/>
          <w:color w:val="FF0000"/>
          <w:sz w:val="10"/>
          <w:lang w:val="en-ZA" w:eastAsia="en-ZA"/>
        </w:rPr>
      </w:pPr>
    </w:p>
    <w:p w:rsidR="008B7FC8" w:rsidRDefault="008B7FC8" w:rsidP="008B7FC8">
      <w:pPr>
        <w:overflowPunct/>
        <w:autoSpaceDE/>
        <w:adjustRightInd/>
        <w:jc w:val="right"/>
        <w:rPr>
          <w:rFonts w:ascii="Verdana" w:hAnsi="Verdana"/>
          <w:b/>
          <w:bCs/>
          <w:color w:val="FF0000"/>
          <w:sz w:val="10"/>
          <w:lang w:val="en-ZA" w:eastAsia="en-ZA"/>
        </w:rPr>
      </w:pPr>
    </w:p>
    <w:p w:rsidR="008B7FC8" w:rsidRDefault="008B7FC8" w:rsidP="008B7FC8">
      <w:pPr>
        <w:overflowPunct/>
        <w:autoSpaceDE/>
        <w:adjustRightInd/>
        <w:jc w:val="right"/>
        <w:rPr>
          <w:rFonts w:ascii="Verdana" w:hAnsi="Verdana"/>
          <w:b/>
          <w:bCs/>
          <w:color w:val="FF0000"/>
          <w:sz w:val="10"/>
          <w:lang w:val="en-ZA" w:eastAsia="en-ZA"/>
        </w:rPr>
      </w:pPr>
    </w:p>
    <w:p w:rsidR="008B7FC8" w:rsidRDefault="008B7FC8" w:rsidP="008B7FC8">
      <w:pPr>
        <w:overflowPunct/>
        <w:autoSpaceDE/>
        <w:adjustRightInd/>
        <w:rPr>
          <w:rFonts w:ascii="Verdana" w:hAnsi="Verdana"/>
          <w:b/>
          <w:bCs/>
          <w:color w:val="00B0F0"/>
          <w:sz w:val="10"/>
          <w:lang w:val="en-ZA" w:eastAsia="en-ZA"/>
        </w:rPr>
      </w:pPr>
    </w:p>
    <w:p w:rsidR="00835A75" w:rsidRDefault="00835A75" w:rsidP="008B7FC8">
      <w:pPr>
        <w:overflowPunct/>
        <w:autoSpaceDE/>
        <w:adjustRightInd/>
        <w:spacing w:line="240" w:lineRule="atLeast"/>
        <w:jc w:val="both"/>
        <w:rPr>
          <w:rFonts w:ascii="Verdana" w:hAnsi="Verdana"/>
          <w:b/>
          <w:bCs/>
          <w:sz w:val="18"/>
          <w:szCs w:val="18"/>
          <w:lang w:val="en-ZA" w:eastAsia="en-ZA"/>
        </w:rPr>
      </w:pPr>
    </w:p>
    <w:p w:rsidR="008B7FC8" w:rsidRDefault="008B7FC8" w:rsidP="008B7FC8">
      <w:pPr>
        <w:overflowPunct/>
        <w:autoSpaceDE/>
        <w:adjustRightInd/>
        <w:spacing w:line="240" w:lineRule="atLeast"/>
        <w:jc w:val="both"/>
        <w:rPr>
          <w:rFonts w:ascii="Verdana" w:hAnsi="Verdana"/>
          <w:sz w:val="18"/>
          <w:szCs w:val="18"/>
          <w:lang w:val="en-ZA" w:eastAsia="en-ZA"/>
        </w:rPr>
      </w:pPr>
      <w:r>
        <w:rPr>
          <w:rFonts w:ascii="Verdana" w:hAnsi="Verdana"/>
          <w:b/>
          <w:bCs/>
          <w:sz w:val="18"/>
          <w:szCs w:val="18"/>
          <w:lang w:val="en-ZA" w:eastAsia="en-ZA"/>
        </w:rPr>
        <w:t xml:space="preserve">Dear Subscriber to </w:t>
      </w:r>
      <w:proofErr w:type="spellStart"/>
      <w:r>
        <w:rPr>
          <w:rFonts w:ascii="Verdana" w:hAnsi="Verdana"/>
          <w:b/>
          <w:bCs/>
          <w:sz w:val="18"/>
          <w:szCs w:val="18"/>
          <w:lang w:val="en-ZA" w:eastAsia="en-ZA"/>
        </w:rPr>
        <w:t>Juta's</w:t>
      </w:r>
      <w:proofErr w:type="spellEnd"/>
      <w:r>
        <w:rPr>
          <w:rFonts w:ascii="Verdana" w:hAnsi="Verdana"/>
          <w:b/>
          <w:bCs/>
          <w:sz w:val="18"/>
          <w:szCs w:val="18"/>
          <w:lang w:val="en-ZA" w:eastAsia="en-ZA"/>
        </w:rPr>
        <w:t xml:space="preserve"> Tax publications</w:t>
      </w: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r>
        <w:rPr>
          <w:rFonts w:ascii="Verdana" w:hAnsi="Verdana"/>
          <w:sz w:val="18"/>
          <w:szCs w:val="18"/>
          <w:lang w:val="en-ZA" w:eastAsia="en-ZA"/>
        </w:rPr>
        <w:t xml:space="preserve">Welcome to the </w:t>
      </w:r>
      <w:r w:rsidR="005C0ABB">
        <w:rPr>
          <w:rFonts w:ascii="Verdana" w:hAnsi="Verdana"/>
          <w:sz w:val="18"/>
          <w:szCs w:val="18"/>
          <w:lang w:val="en-ZA" w:eastAsia="en-ZA"/>
        </w:rPr>
        <w:t>July</w:t>
      </w:r>
      <w:r>
        <w:rPr>
          <w:rFonts w:ascii="Verdana" w:hAnsi="Verdana"/>
          <w:sz w:val="18"/>
          <w:szCs w:val="18"/>
          <w:lang w:val="en-ZA" w:eastAsia="en-ZA"/>
        </w:rPr>
        <w:t xml:space="preserve"> edition of </w:t>
      </w:r>
      <w:proofErr w:type="spellStart"/>
      <w:r>
        <w:rPr>
          <w:rFonts w:ascii="Verdana" w:hAnsi="Verdana"/>
          <w:i/>
          <w:iCs/>
          <w:sz w:val="18"/>
          <w:szCs w:val="18"/>
          <w:lang w:val="en-ZA" w:eastAsia="en-ZA"/>
        </w:rPr>
        <w:t>Juta's</w:t>
      </w:r>
      <w:proofErr w:type="spellEnd"/>
      <w:r>
        <w:rPr>
          <w:rFonts w:ascii="Verdana" w:hAnsi="Verdana"/>
          <w:i/>
          <w:iCs/>
          <w:sz w:val="18"/>
          <w:szCs w:val="18"/>
          <w:lang w:val="en-ZA" w:eastAsia="en-ZA"/>
        </w:rPr>
        <w:t xml:space="preserve"> Tax Law Review</w:t>
      </w:r>
      <w:r>
        <w:rPr>
          <w:rFonts w:ascii="Verdana" w:hAnsi="Verdana"/>
          <w:sz w:val="18"/>
          <w:szCs w:val="18"/>
          <w:lang w:val="en-ZA" w:eastAsia="en-ZA"/>
        </w:rPr>
        <w:t>. We thank you for your constructive suggestions and comments about this electronic review.</w:t>
      </w:r>
    </w:p>
    <w:p w:rsidR="008B7FC8" w:rsidRDefault="008B7FC8" w:rsidP="008B7FC8">
      <w:pPr>
        <w:shd w:val="clear" w:color="auto" w:fill="FFFFFF"/>
        <w:overflowPunct/>
        <w:autoSpaceDE/>
        <w:adjustRightInd/>
        <w:spacing w:line="240" w:lineRule="atLeast"/>
        <w:jc w:val="both"/>
        <w:rPr>
          <w:rFonts w:ascii="Verdana" w:hAnsi="Verdana"/>
          <w:b/>
          <w:bCs/>
          <w:sz w:val="18"/>
          <w:szCs w:val="18"/>
          <w:lang w:val="en-ZA" w:eastAsia="en-ZA"/>
        </w:rPr>
      </w:pP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r>
        <w:rPr>
          <w:rFonts w:ascii="Verdana" w:hAnsi="Verdana"/>
          <w:b/>
          <w:bCs/>
          <w:sz w:val="18"/>
          <w:szCs w:val="18"/>
          <w:lang w:val="en-ZA" w:eastAsia="en-ZA"/>
        </w:rPr>
        <w:t>SOME POINTS ABOUT THE CASE NOTES:</w:t>
      </w: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r>
        <w:rPr>
          <w:rFonts w:ascii="Verdana" w:hAnsi="Verdana"/>
          <w:sz w:val="18"/>
          <w:szCs w:val="18"/>
          <w:lang w:val="en-ZA" w:eastAsia="en-ZA"/>
        </w:rPr>
        <w:t>The case notes, classified by subject, are not intended as comprehensive summaries of the various judgments referred to. Rather, their focus is to identify those aspects most likely to be of interest to tax practitioners, and to provide a concise evaluative commentary.</w:t>
      </w: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r>
        <w:rPr>
          <w:rFonts w:ascii="Verdana" w:hAnsi="Verdana"/>
          <w:sz w:val="18"/>
          <w:szCs w:val="18"/>
          <w:lang w:val="en-ZA" w:eastAsia="en-ZA"/>
        </w:rPr>
        <w:t xml:space="preserve">Following each case note is a link to the full text of the judgment on Juta Law's website. The successive reviews and judgments are incorporated in your </w:t>
      </w:r>
      <w:proofErr w:type="spellStart"/>
      <w:r>
        <w:rPr>
          <w:rFonts w:ascii="Verdana" w:hAnsi="Verdana"/>
          <w:sz w:val="18"/>
          <w:szCs w:val="18"/>
          <w:lang w:val="en-ZA" w:eastAsia="en-ZA"/>
        </w:rPr>
        <w:t>Juta's</w:t>
      </w:r>
      <w:proofErr w:type="spellEnd"/>
      <w:r>
        <w:rPr>
          <w:rFonts w:ascii="Verdana" w:hAnsi="Verdana"/>
          <w:sz w:val="18"/>
          <w:szCs w:val="18"/>
          <w:lang w:val="en-ZA" w:eastAsia="en-ZA"/>
        </w:rPr>
        <w:t xml:space="preserve"> Tax Library, providing a comprehensive record of tax case law.</w:t>
      </w: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r>
        <w:rPr>
          <w:rFonts w:ascii="Verdana" w:hAnsi="Verdana"/>
          <w:sz w:val="18"/>
          <w:szCs w:val="18"/>
          <w:lang w:val="en-ZA" w:eastAsia="en-ZA"/>
        </w:rPr>
        <w:t xml:space="preserve">Please continue to send feedback to the publisher, Steve Allcock </w:t>
      </w:r>
      <w:r w:rsidRPr="00D15E84">
        <w:rPr>
          <w:rFonts w:ascii="Verdana" w:hAnsi="Verdana"/>
          <w:color w:val="A6A6A6"/>
          <w:sz w:val="18"/>
          <w:szCs w:val="18"/>
          <w:lang w:val="en-ZA" w:eastAsia="en-ZA"/>
        </w:rPr>
        <w:t>(</w:t>
      </w:r>
      <w:hyperlink r:id="rId8" w:tgtFrame="_blank" w:history="1">
        <w:r w:rsidRPr="00D15E84">
          <w:rPr>
            <w:rStyle w:val="Hyperlink"/>
            <w:rFonts w:ascii="Verdana" w:hAnsi="Verdana"/>
            <w:color w:val="A6A6A6"/>
            <w:sz w:val="18"/>
            <w:szCs w:val="18"/>
            <w:lang w:val="en-ZA" w:eastAsia="en-ZA"/>
          </w:rPr>
          <w:t>sallcock@juta.co.za</w:t>
        </w:r>
      </w:hyperlink>
      <w:r w:rsidRPr="00D15E84">
        <w:rPr>
          <w:rFonts w:ascii="Verdana" w:hAnsi="Verdana"/>
          <w:color w:val="A6A6A6"/>
          <w:sz w:val="18"/>
          <w:szCs w:val="18"/>
          <w:lang w:val="en-ZA" w:eastAsia="en-ZA"/>
        </w:rPr>
        <w:t>)</w:t>
      </w:r>
      <w:r>
        <w:rPr>
          <w:rFonts w:ascii="Verdana" w:hAnsi="Verdana"/>
          <w:sz w:val="18"/>
          <w:szCs w:val="18"/>
          <w:lang w:val="en-ZA" w:eastAsia="en-ZA"/>
        </w:rPr>
        <w:t> </w:t>
      </w: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r>
        <w:rPr>
          <w:rFonts w:ascii="Verdana" w:hAnsi="Verdana"/>
          <w:sz w:val="18"/>
          <w:szCs w:val="18"/>
          <w:lang w:val="en-ZA" w:eastAsia="en-ZA"/>
        </w:rPr>
        <w:t>Kind regards</w:t>
      </w: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Pr="001A1E32" w:rsidRDefault="008B7FC8" w:rsidP="008B7FC8">
      <w:pPr>
        <w:shd w:val="clear" w:color="auto" w:fill="FFFFFF"/>
        <w:overflowPunct/>
        <w:autoSpaceDE/>
        <w:adjustRightInd/>
        <w:spacing w:line="240" w:lineRule="atLeast"/>
        <w:jc w:val="both"/>
        <w:rPr>
          <w:rFonts w:ascii="Verdana" w:hAnsi="Verdana"/>
          <w:b/>
          <w:sz w:val="18"/>
          <w:szCs w:val="18"/>
          <w:lang w:val="en-ZA" w:eastAsia="en-ZA"/>
        </w:rPr>
      </w:pPr>
      <w:r w:rsidRPr="001A1E32">
        <w:rPr>
          <w:rFonts w:ascii="Verdana" w:hAnsi="Verdana"/>
          <w:b/>
          <w:sz w:val="18"/>
          <w:szCs w:val="18"/>
          <w:lang w:val="en-ZA" w:eastAsia="en-ZA"/>
        </w:rPr>
        <w:t>The Juta Law Marketing Team</w:t>
      </w: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Default="008B7FC8"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2F2E83" w:rsidRDefault="002F2E83" w:rsidP="008B7FC8">
      <w:pPr>
        <w:shd w:val="clear" w:color="auto" w:fill="FFFFFF"/>
        <w:overflowPunct/>
        <w:autoSpaceDE/>
        <w:adjustRightInd/>
        <w:spacing w:line="240" w:lineRule="atLeast"/>
        <w:jc w:val="both"/>
        <w:rPr>
          <w:rFonts w:ascii="Verdana" w:hAnsi="Verdana"/>
          <w:sz w:val="18"/>
          <w:szCs w:val="18"/>
          <w:lang w:val="en-ZA" w:eastAsia="en-ZA"/>
        </w:rPr>
      </w:pPr>
    </w:p>
    <w:p w:rsidR="008B7FC8" w:rsidRDefault="008B7FC8" w:rsidP="008B7FC8">
      <w:pPr>
        <w:pStyle w:val="mid-grey-text"/>
        <w:spacing w:before="0" w:beforeAutospacing="0" w:after="0" w:afterAutospacing="0" w:line="240" w:lineRule="atLeast"/>
        <w:jc w:val="center"/>
        <w:rPr>
          <w:rFonts w:ascii="Verdana" w:hAnsi="Verdana"/>
          <w:b/>
          <w:color w:val="008080"/>
        </w:rPr>
      </w:pPr>
      <w:r>
        <w:rPr>
          <w:rFonts w:ascii="Verdana" w:hAnsi="Verdana"/>
          <w:b/>
          <w:color w:val="008080"/>
        </w:rPr>
        <w:lastRenderedPageBreak/>
        <w:t>LEGISLATION</w:t>
      </w:r>
    </w:p>
    <w:p w:rsidR="00C50FEE" w:rsidRDefault="00C50FEE" w:rsidP="00655261">
      <w:pPr>
        <w:shd w:val="clear" w:color="auto" w:fill="FFFFFF"/>
        <w:overflowPunct/>
        <w:autoSpaceDE/>
        <w:autoSpaceDN/>
        <w:adjustRightInd/>
        <w:textAlignment w:val="auto"/>
        <w:rPr>
          <w:rFonts w:ascii="Verdana" w:hAnsi="Verdana"/>
          <w:color w:val="182738"/>
          <w:sz w:val="18"/>
          <w:szCs w:val="18"/>
          <w:shd w:val="clear" w:color="auto" w:fill="FFFFFF"/>
        </w:rPr>
      </w:pPr>
    </w:p>
    <w:p w:rsidR="00F62910" w:rsidRDefault="00C50FEE" w:rsidP="00655261">
      <w:pPr>
        <w:shd w:val="clear" w:color="auto" w:fill="FFFFFF"/>
        <w:overflowPunct/>
        <w:autoSpaceDE/>
        <w:autoSpaceDN/>
        <w:adjustRightInd/>
        <w:textAlignment w:val="auto"/>
        <w:rPr>
          <w:rFonts w:ascii="Verdana" w:hAnsi="Verdana"/>
          <w:b/>
          <w:i/>
          <w:color w:val="008080"/>
          <w:sz w:val="24"/>
          <w:szCs w:val="24"/>
        </w:rPr>
      </w:pPr>
      <w:r>
        <w:rPr>
          <w:rFonts w:ascii="Verdana" w:hAnsi="Verdana"/>
          <w:color w:val="182738"/>
          <w:sz w:val="18"/>
          <w:szCs w:val="18"/>
          <w:shd w:val="clear" w:color="auto" w:fill="FFFFFF"/>
        </w:rPr>
        <w:t>No further legislation has been enacted since the March issue of the JTLR.</w:t>
      </w:r>
    </w:p>
    <w:p w:rsidR="0004295E" w:rsidRPr="00655261" w:rsidRDefault="0004295E" w:rsidP="00655261">
      <w:pPr>
        <w:shd w:val="clear" w:color="auto" w:fill="FFFFFF"/>
        <w:overflowPunct/>
        <w:autoSpaceDE/>
        <w:autoSpaceDN/>
        <w:adjustRightInd/>
        <w:textAlignment w:val="auto"/>
        <w:rPr>
          <w:rFonts w:ascii="Verdana" w:hAnsi="Verdana"/>
          <w:b/>
          <w:i/>
          <w:color w:val="008080"/>
          <w:sz w:val="24"/>
          <w:szCs w:val="24"/>
        </w:rPr>
      </w:pPr>
    </w:p>
    <w:p w:rsidR="0004295E" w:rsidRPr="00655261" w:rsidRDefault="0004295E" w:rsidP="00CD08D9">
      <w:pPr>
        <w:shd w:val="clear" w:color="auto" w:fill="FFFFFF"/>
        <w:overflowPunct/>
        <w:autoSpaceDE/>
        <w:autoSpaceDN/>
        <w:adjustRightInd/>
        <w:jc w:val="center"/>
        <w:textAlignment w:val="auto"/>
        <w:rPr>
          <w:rFonts w:ascii="Verdana" w:hAnsi="Verdana"/>
          <w:b/>
          <w:i/>
          <w:color w:val="008080"/>
          <w:sz w:val="24"/>
          <w:szCs w:val="24"/>
        </w:rPr>
      </w:pPr>
      <w:r w:rsidRPr="00655261">
        <w:rPr>
          <w:rFonts w:ascii="Verdana" w:hAnsi="Verdana"/>
          <w:b/>
          <w:i/>
          <w:color w:val="008080"/>
          <w:sz w:val="24"/>
          <w:szCs w:val="24"/>
        </w:rPr>
        <w:t>DRAFT BILLS</w:t>
      </w:r>
    </w:p>
    <w:p w:rsidR="0004295E" w:rsidRPr="00695D83" w:rsidRDefault="0004295E" w:rsidP="00CD08D9">
      <w:pPr>
        <w:shd w:val="clear" w:color="auto" w:fill="FFFFFF"/>
        <w:overflowPunct/>
        <w:autoSpaceDE/>
        <w:autoSpaceDN/>
        <w:adjustRightInd/>
        <w:jc w:val="center"/>
        <w:textAlignment w:val="auto"/>
        <w:rPr>
          <w:rFonts w:ascii="Verdana" w:hAnsi="Verdana"/>
          <w:b/>
          <w:color w:val="008080"/>
          <w:sz w:val="18"/>
          <w:szCs w:val="18"/>
        </w:rPr>
      </w:pPr>
    </w:p>
    <w:p w:rsidR="0004295E" w:rsidRPr="00695D83" w:rsidRDefault="0004295E" w:rsidP="00655261">
      <w:pPr>
        <w:shd w:val="clear" w:color="auto" w:fill="FFFFFF"/>
        <w:overflowPunct/>
        <w:autoSpaceDE/>
        <w:autoSpaceDN/>
        <w:adjustRightInd/>
        <w:textAlignment w:val="auto"/>
        <w:rPr>
          <w:rFonts w:ascii="Verdana" w:hAnsi="Verdana"/>
          <w:b/>
          <w:color w:val="008080"/>
          <w:sz w:val="18"/>
          <w:szCs w:val="18"/>
        </w:rPr>
      </w:pPr>
      <w:r w:rsidRPr="00695D83">
        <w:rPr>
          <w:rFonts w:ascii="Verdana" w:hAnsi="Verdana"/>
          <w:color w:val="000000"/>
          <w:sz w:val="18"/>
          <w:szCs w:val="18"/>
          <w:shd w:val="clear" w:color="auto" w:fill="FFFFFF"/>
        </w:rPr>
        <w:t>On 5 June 2015 National Treasury released</w:t>
      </w:r>
      <w:r w:rsidR="00C50FEE" w:rsidRPr="00695D83">
        <w:rPr>
          <w:rFonts w:ascii="Verdana" w:hAnsi="Verdana"/>
          <w:color w:val="000000"/>
          <w:sz w:val="18"/>
          <w:szCs w:val="18"/>
          <w:shd w:val="clear" w:color="auto" w:fill="FFFFFF"/>
        </w:rPr>
        <w:t xml:space="preserve"> for public comment</w:t>
      </w:r>
      <w:r w:rsidRPr="00695D83">
        <w:rPr>
          <w:rFonts w:ascii="Verdana" w:hAnsi="Verdana"/>
          <w:color w:val="000000"/>
          <w:sz w:val="18"/>
          <w:szCs w:val="18"/>
          <w:shd w:val="clear" w:color="auto" w:fill="FFFFFF"/>
        </w:rPr>
        <w:t xml:space="preserve"> the First Batch of the </w:t>
      </w:r>
      <w:r w:rsidRPr="00546921">
        <w:rPr>
          <w:rFonts w:ascii="Verdana" w:hAnsi="Verdana"/>
          <w:color w:val="000000"/>
          <w:sz w:val="18"/>
          <w:szCs w:val="18"/>
          <w:shd w:val="clear" w:color="auto" w:fill="FFFFFF"/>
        </w:rPr>
        <w:t>2015 Dra</w:t>
      </w:r>
      <w:r w:rsidR="00DC7DDA">
        <w:rPr>
          <w:rFonts w:ascii="Verdana" w:hAnsi="Verdana"/>
          <w:color w:val="000000"/>
          <w:sz w:val="18"/>
          <w:szCs w:val="18"/>
          <w:shd w:val="clear" w:color="auto" w:fill="FFFFFF"/>
        </w:rPr>
        <w:t>ft Taxation Laws Amendment Bill</w:t>
      </w:r>
      <w:r w:rsidR="00717B89" w:rsidRPr="00695D83">
        <w:rPr>
          <w:rFonts w:ascii="Verdana" w:hAnsi="Verdana"/>
          <w:color w:val="000000"/>
          <w:sz w:val="18"/>
          <w:szCs w:val="18"/>
          <w:shd w:val="clear" w:color="auto" w:fill="FFFFFF"/>
        </w:rPr>
        <w:t xml:space="preserve"> </w:t>
      </w:r>
      <w:r w:rsidRPr="00695D83">
        <w:rPr>
          <w:rFonts w:ascii="Verdana" w:hAnsi="Verdana"/>
          <w:color w:val="000000"/>
          <w:sz w:val="18"/>
          <w:szCs w:val="18"/>
          <w:shd w:val="clear" w:color="auto" w:fill="FFFFFF"/>
        </w:rPr>
        <w:t>together</w:t>
      </w:r>
      <w:r w:rsidR="00C50FEE" w:rsidRPr="00695D83">
        <w:rPr>
          <w:rFonts w:ascii="Verdana" w:hAnsi="Verdana"/>
          <w:color w:val="000000"/>
          <w:sz w:val="18"/>
          <w:szCs w:val="18"/>
          <w:shd w:val="clear" w:color="auto" w:fill="FFFFFF"/>
        </w:rPr>
        <w:t xml:space="preserve"> with an Explanatory Memorandum</w:t>
      </w:r>
      <w:r w:rsidRPr="00695D83">
        <w:rPr>
          <w:rFonts w:ascii="Verdana" w:hAnsi="Verdana"/>
          <w:color w:val="000000"/>
          <w:sz w:val="18"/>
          <w:szCs w:val="18"/>
          <w:shd w:val="clear" w:color="auto" w:fill="FFFFFF"/>
        </w:rPr>
        <w:t>.</w:t>
      </w:r>
    </w:p>
    <w:p w:rsidR="0004295E" w:rsidRPr="00695D83" w:rsidRDefault="0004295E" w:rsidP="00CD08D9">
      <w:pPr>
        <w:shd w:val="clear" w:color="auto" w:fill="FFFFFF"/>
        <w:overflowPunct/>
        <w:autoSpaceDE/>
        <w:autoSpaceDN/>
        <w:adjustRightInd/>
        <w:jc w:val="center"/>
        <w:textAlignment w:val="auto"/>
        <w:rPr>
          <w:rFonts w:ascii="Verdana" w:hAnsi="Verdana"/>
          <w:b/>
          <w:i/>
          <w:color w:val="008080"/>
          <w:sz w:val="18"/>
          <w:szCs w:val="18"/>
        </w:rPr>
      </w:pPr>
    </w:p>
    <w:p w:rsidR="0004295E" w:rsidRPr="00695D83" w:rsidRDefault="0004295E" w:rsidP="00CD08D9">
      <w:pPr>
        <w:shd w:val="clear" w:color="auto" w:fill="FFFFFF"/>
        <w:overflowPunct/>
        <w:autoSpaceDE/>
        <w:autoSpaceDN/>
        <w:adjustRightInd/>
        <w:jc w:val="center"/>
        <w:textAlignment w:val="auto"/>
        <w:rPr>
          <w:rFonts w:ascii="Verdana" w:hAnsi="Verdana"/>
          <w:b/>
          <w:i/>
          <w:color w:val="008080"/>
          <w:sz w:val="18"/>
          <w:szCs w:val="18"/>
        </w:rPr>
      </w:pPr>
    </w:p>
    <w:p w:rsidR="000138DB" w:rsidRPr="00CD08D9" w:rsidRDefault="00CD08D9" w:rsidP="00CD08D9">
      <w:pPr>
        <w:shd w:val="clear" w:color="auto" w:fill="FFFFFF"/>
        <w:overflowPunct/>
        <w:autoSpaceDE/>
        <w:autoSpaceDN/>
        <w:adjustRightInd/>
        <w:jc w:val="center"/>
        <w:textAlignment w:val="auto"/>
        <w:rPr>
          <w:rFonts w:ascii="Verdana" w:hAnsi="Verdana"/>
          <w:sz w:val="24"/>
          <w:szCs w:val="24"/>
          <w:lang w:val="en-ZA" w:eastAsia="en-ZA"/>
        </w:rPr>
      </w:pPr>
      <w:r w:rsidRPr="00CD08D9">
        <w:rPr>
          <w:rFonts w:ascii="Verdana" w:hAnsi="Verdana"/>
          <w:b/>
          <w:i/>
          <w:color w:val="008080"/>
          <w:sz w:val="24"/>
          <w:szCs w:val="24"/>
        </w:rPr>
        <w:t>BILLS</w:t>
      </w:r>
    </w:p>
    <w:p w:rsidR="0004295E" w:rsidRPr="00695D83" w:rsidRDefault="0004295E" w:rsidP="000138DB">
      <w:pPr>
        <w:shd w:val="clear" w:color="auto" w:fill="FFFFFF"/>
        <w:overflowPunct/>
        <w:autoSpaceDE/>
        <w:autoSpaceDN/>
        <w:adjustRightInd/>
        <w:jc w:val="both"/>
        <w:textAlignment w:val="auto"/>
        <w:rPr>
          <w:rFonts w:ascii="Verdana" w:hAnsi="Verdana"/>
          <w:sz w:val="18"/>
          <w:szCs w:val="18"/>
          <w:lang w:val="en-ZA" w:eastAsia="en-ZA"/>
        </w:rPr>
      </w:pPr>
    </w:p>
    <w:p w:rsidR="002D5210" w:rsidRPr="00695D83" w:rsidRDefault="00886021" w:rsidP="00CD08D9">
      <w:pPr>
        <w:shd w:val="clear" w:color="auto" w:fill="FFFFFF"/>
        <w:overflowPunct/>
        <w:autoSpaceDE/>
        <w:autoSpaceDN/>
        <w:adjustRightInd/>
        <w:jc w:val="both"/>
        <w:textAlignment w:val="auto"/>
        <w:rPr>
          <w:rStyle w:val="Strong"/>
          <w:rFonts w:ascii="Verdana" w:hAnsi="Verdana" w:cs="Arial"/>
          <w:b w:val="0"/>
          <w:color w:val="000000"/>
          <w:sz w:val="18"/>
          <w:szCs w:val="18"/>
          <w:shd w:val="clear" w:color="auto" w:fill="FFFFFF"/>
        </w:rPr>
      </w:pPr>
      <w:r w:rsidRPr="00695D83">
        <w:rPr>
          <w:rStyle w:val="Strong"/>
          <w:rFonts w:ascii="Verdana" w:hAnsi="Verdana" w:cs="Arial"/>
          <w:b w:val="0"/>
          <w:color w:val="000000"/>
          <w:sz w:val="18"/>
          <w:szCs w:val="18"/>
          <w:shd w:val="clear" w:color="auto" w:fill="FFFFFF"/>
        </w:rPr>
        <w:t xml:space="preserve">On </w:t>
      </w:r>
      <w:r w:rsidR="0004295E" w:rsidRPr="00695D83">
        <w:rPr>
          <w:rStyle w:val="Strong"/>
          <w:rFonts w:ascii="Verdana" w:hAnsi="Verdana" w:cs="Arial"/>
          <w:b w:val="0"/>
          <w:color w:val="000000"/>
          <w:sz w:val="18"/>
          <w:szCs w:val="18"/>
          <w:shd w:val="clear" w:color="auto" w:fill="FFFFFF"/>
        </w:rPr>
        <w:t>3</w:t>
      </w:r>
      <w:r w:rsidR="002D5210" w:rsidRPr="00695D83">
        <w:rPr>
          <w:rStyle w:val="Strong"/>
          <w:rFonts w:ascii="Verdana" w:hAnsi="Verdana" w:cs="Arial"/>
          <w:b w:val="0"/>
          <w:color w:val="000000"/>
          <w:sz w:val="18"/>
          <w:szCs w:val="18"/>
          <w:shd w:val="clear" w:color="auto" w:fill="FFFFFF"/>
        </w:rPr>
        <w:t xml:space="preserve"> June 2015 </w:t>
      </w:r>
      <w:r w:rsidR="0004295E" w:rsidRPr="00695D83">
        <w:rPr>
          <w:rStyle w:val="Strong"/>
          <w:rFonts w:ascii="Verdana" w:hAnsi="Verdana" w:cs="Arial"/>
          <w:b w:val="0"/>
          <w:color w:val="000000"/>
          <w:sz w:val="18"/>
          <w:szCs w:val="18"/>
          <w:shd w:val="clear" w:color="auto" w:fill="FFFFFF"/>
        </w:rPr>
        <w:t xml:space="preserve">the </w:t>
      </w:r>
      <w:r w:rsidR="0004295E" w:rsidRPr="00546921">
        <w:rPr>
          <w:rStyle w:val="Strong"/>
          <w:rFonts w:ascii="Verdana" w:hAnsi="Verdana" w:cs="Arial"/>
          <w:b w:val="0"/>
          <w:color w:val="000000"/>
          <w:sz w:val="18"/>
          <w:szCs w:val="18"/>
          <w:shd w:val="clear" w:color="auto" w:fill="FFFFFF"/>
        </w:rPr>
        <w:t>Rates and Monetary Amounts and Amendment of Revenue Laws Bill [B</w:t>
      </w:r>
      <w:r w:rsidR="002D5210" w:rsidRPr="00546921">
        <w:rPr>
          <w:rStyle w:val="Strong"/>
          <w:rFonts w:ascii="Verdana" w:hAnsi="Verdana" w:cs="Arial"/>
          <w:b w:val="0"/>
          <w:color w:val="000000"/>
          <w:sz w:val="18"/>
          <w:szCs w:val="18"/>
          <w:shd w:val="clear" w:color="auto" w:fill="FFFFFF"/>
        </w:rPr>
        <w:t>15 of 2015</w:t>
      </w:r>
      <w:r w:rsidR="0004295E" w:rsidRPr="00546921">
        <w:rPr>
          <w:rStyle w:val="Strong"/>
          <w:rFonts w:ascii="Verdana" w:hAnsi="Verdana" w:cs="Arial"/>
          <w:b w:val="0"/>
          <w:color w:val="000000"/>
          <w:sz w:val="18"/>
          <w:szCs w:val="18"/>
          <w:shd w:val="clear" w:color="auto" w:fill="FFFFFF"/>
        </w:rPr>
        <w:t>]</w:t>
      </w:r>
      <w:r w:rsidR="0004295E" w:rsidRPr="00695D83">
        <w:rPr>
          <w:rStyle w:val="Strong"/>
          <w:rFonts w:ascii="Verdana" w:hAnsi="Verdana" w:cs="Arial"/>
          <w:b w:val="0"/>
          <w:color w:val="000000"/>
          <w:sz w:val="18"/>
          <w:szCs w:val="18"/>
          <w:shd w:val="clear" w:color="auto" w:fill="FFFFFF"/>
        </w:rPr>
        <w:t xml:space="preserve"> </w:t>
      </w:r>
      <w:r w:rsidRPr="00695D83">
        <w:rPr>
          <w:rStyle w:val="Strong"/>
          <w:rFonts w:ascii="Verdana" w:hAnsi="Verdana" w:cs="Arial"/>
          <w:b w:val="0"/>
          <w:color w:val="000000"/>
          <w:sz w:val="18"/>
          <w:szCs w:val="18"/>
          <w:shd w:val="clear" w:color="auto" w:fill="FFFFFF"/>
        </w:rPr>
        <w:t>was introduced in the National Assembly.</w:t>
      </w:r>
    </w:p>
    <w:p w:rsidR="00B81661" w:rsidRPr="00695D83" w:rsidRDefault="00B81661" w:rsidP="00CD08D9">
      <w:pPr>
        <w:shd w:val="clear" w:color="auto" w:fill="FFFFFF"/>
        <w:overflowPunct/>
        <w:autoSpaceDE/>
        <w:autoSpaceDN/>
        <w:adjustRightInd/>
        <w:jc w:val="both"/>
        <w:textAlignment w:val="auto"/>
        <w:rPr>
          <w:rStyle w:val="Strong"/>
          <w:rFonts w:ascii="Verdana" w:hAnsi="Verdana" w:cs="Arial"/>
          <w:color w:val="000000"/>
          <w:sz w:val="18"/>
          <w:szCs w:val="18"/>
        </w:rPr>
      </w:pPr>
    </w:p>
    <w:p w:rsidR="00B81661" w:rsidRPr="00695D83" w:rsidRDefault="00B81661" w:rsidP="00CD08D9">
      <w:pPr>
        <w:shd w:val="clear" w:color="auto" w:fill="FFFFFF"/>
        <w:overflowPunct/>
        <w:autoSpaceDE/>
        <w:autoSpaceDN/>
        <w:adjustRightInd/>
        <w:jc w:val="both"/>
        <w:textAlignment w:val="auto"/>
        <w:rPr>
          <w:rStyle w:val="Strong"/>
          <w:rFonts w:ascii="Verdana" w:hAnsi="Verdana" w:cs="Arial"/>
          <w:b w:val="0"/>
          <w:color w:val="000000"/>
          <w:sz w:val="18"/>
          <w:szCs w:val="18"/>
        </w:rPr>
      </w:pPr>
      <w:r w:rsidRPr="00695D83">
        <w:rPr>
          <w:rStyle w:val="Strong"/>
          <w:rFonts w:ascii="Verdana" w:hAnsi="Verdana" w:cs="Arial"/>
          <w:b w:val="0"/>
          <w:color w:val="000000"/>
          <w:sz w:val="18"/>
          <w:szCs w:val="18"/>
        </w:rPr>
        <w:t>There has been no further legislation since the March issue of the JTLR.</w:t>
      </w:r>
    </w:p>
    <w:p w:rsidR="00B81661" w:rsidRPr="00695D83" w:rsidRDefault="00B81661" w:rsidP="00CD08D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B81661" w:rsidRDefault="00B81661" w:rsidP="00CD08D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733DAE" w:rsidRPr="00CC26B4" w:rsidRDefault="00CD08D9" w:rsidP="000709F1">
      <w:pPr>
        <w:overflowPunct/>
        <w:autoSpaceDE/>
        <w:autoSpaceDN/>
        <w:adjustRightInd/>
        <w:jc w:val="center"/>
        <w:textAlignment w:val="auto"/>
        <w:rPr>
          <w:rFonts w:ascii="Verdana" w:hAnsi="Verdana"/>
          <w:b/>
          <w:sz w:val="24"/>
          <w:szCs w:val="24"/>
          <w:lang w:val="en-ZA" w:eastAsia="en-ZA"/>
        </w:rPr>
      </w:pPr>
      <w:r w:rsidRPr="00CD08D9">
        <w:rPr>
          <w:rFonts w:ascii="Verdana" w:hAnsi="Verdana"/>
          <w:b/>
          <w:color w:val="008080"/>
          <w:sz w:val="24"/>
          <w:szCs w:val="24"/>
        </w:rPr>
        <w:t>GENERAL</w:t>
      </w:r>
    </w:p>
    <w:p w:rsidR="0004295E" w:rsidRPr="00CD08D9" w:rsidRDefault="0004295E" w:rsidP="00306829">
      <w:pPr>
        <w:overflowPunct/>
        <w:autoSpaceDE/>
        <w:autoSpaceDN/>
        <w:adjustRightInd/>
        <w:jc w:val="both"/>
        <w:textAlignment w:val="auto"/>
        <w:rPr>
          <w:rFonts w:ascii="Verdana" w:hAnsi="Verdana" w:cs="Arial"/>
          <w:color w:val="000000"/>
          <w:sz w:val="18"/>
          <w:szCs w:val="18"/>
          <w:shd w:val="clear" w:color="auto" w:fill="FFFFFF"/>
        </w:rPr>
      </w:pPr>
    </w:p>
    <w:p w:rsidR="000D4E5D" w:rsidRPr="00546921" w:rsidRDefault="000D4E5D" w:rsidP="00306829">
      <w:pPr>
        <w:overflowPunct/>
        <w:autoSpaceDE/>
        <w:autoSpaceDN/>
        <w:adjustRightInd/>
        <w:jc w:val="both"/>
        <w:textAlignment w:val="auto"/>
        <w:rPr>
          <w:rFonts w:ascii="Verdana" w:hAnsi="Verdana" w:cs="Arial"/>
          <w:color w:val="000000"/>
          <w:sz w:val="18"/>
          <w:szCs w:val="18"/>
          <w:shd w:val="clear" w:color="auto" w:fill="FFFFFF"/>
        </w:rPr>
      </w:pPr>
      <w:r w:rsidRPr="00546921">
        <w:rPr>
          <w:rFonts w:ascii="Verdana" w:hAnsi="Verdana" w:cs="Arial"/>
          <w:color w:val="000000"/>
          <w:sz w:val="18"/>
          <w:szCs w:val="18"/>
          <w:shd w:val="clear" w:color="auto" w:fill="FFFFFF"/>
        </w:rPr>
        <w:t>On 6 Ma</w:t>
      </w:r>
      <w:r w:rsidR="00DC7DDA">
        <w:rPr>
          <w:rFonts w:ascii="Verdana" w:hAnsi="Verdana" w:cs="Arial"/>
          <w:color w:val="000000"/>
          <w:sz w:val="18"/>
          <w:szCs w:val="18"/>
          <w:shd w:val="clear" w:color="auto" w:fill="FFFFFF"/>
        </w:rPr>
        <w:t>rch 2015 SARS published Table A</w:t>
      </w:r>
      <w:r w:rsidR="00675323" w:rsidRPr="00546921">
        <w:rPr>
          <w:rFonts w:ascii="Verdana" w:hAnsi="Verdana" w:cs="Arial"/>
          <w:color w:val="000000"/>
          <w:sz w:val="18"/>
          <w:szCs w:val="18"/>
          <w:shd w:val="clear" w:color="auto" w:fill="FFFFFF"/>
        </w:rPr>
        <w:t xml:space="preserve"> </w:t>
      </w:r>
      <w:r w:rsidR="00DC7DDA">
        <w:rPr>
          <w:rFonts w:ascii="Verdana" w:hAnsi="Verdana" w:cs="Arial"/>
          <w:color w:val="000000"/>
          <w:sz w:val="18"/>
          <w:szCs w:val="18"/>
          <w:shd w:val="clear" w:color="auto" w:fill="FFFFFF"/>
        </w:rPr>
        <w:t>and B</w:t>
      </w:r>
      <w:r w:rsidR="00675323" w:rsidRPr="00546921">
        <w:rPr>
          <w:rFonts w:ascii="Verdana" w:hAnsi="Verdana" w:cs="Arial"/>
          <w:color w:val="000000"/>
          <w:sz w:val="18"/>
          <w:szCs w:val="18"/>
          <w:shd w:val="clear" w:color="auto" w:fill="FFFFFF"/>
        </w:rPr>
        <w:t xml:space="preserve"> </w:t>
      </w:r>
      <w:r w:rsidRPr="00546921">
        <w:rPr>
          <w:rFonts w:ascii="Verdana" w:hAnsi="Verdana" w:cs="Arial"/>
          <w:color w:val="000000"/>
          <w:sz w:val="18"/>
          <w:szCs w:val="18"/>
          <w:shd w:val="clear" w:color="auto" w:fill="FFFFFF"/>
        </w:rPr>
        <w:t xml:space="preserve">of </w:t>
      </w:r>
      <w:r w:rsidR="00CC3186" w:rsidRPr="00546921">
        <w:rPr>
          <w:rFonts w:ascii="Verdana" w:hAnsi="Verdana" w:cs="Arial"/>
          <w:color w:val="000000"/>
          <w:sz w:val="18"/>
          <w:szCs w:val="18"/>
          <w:shd w:val="clear" w:color="auto" w:fill="FFFFFF"/>
        </w:rPr>
        <w:t xml:space="preserve">the </w:t>
      </w:r>
      <w:r w:rsidRPr="00546921">
        <w:rPr>
          <w:rFonts w:ascii="Verdana" w:hAnsi="Verdana" w:cs="Arial"/>
          <w:color w:val="000000"/>
          <w:sz w:val="18"/>
          <w:szCs w:val="18"/>
          <w:shd w:val="clear" w:color="auto" w:fill="FFFFFF"/>
        </w:rPr>
        <w:t>average exchange rates</w:t>
      </w:r>
      <w:r w:rsidR="0004295E" w:rsidRPr="00546921">
        <w:rPr>
          <w:rFonts w:ascii="Verdana" w:hAnsi="Verdana" w:cs="Arial"/>
          <w:color w:val="000000"/>
          <w:sz w:val="18"/>
          <w:szCs w:val="18"/>
          <w:shd w:val="clear" w:color="auto" w:fill="FFFFFF"/>
        </w:rPr>
        <w:t>.</w:t>
      </w:r>
    </w:p>
    <w:p w:rsidR="0004295E" w:rsidRPr="00546921" w:rsidRDefault="0004295E" w:rsidP="00306829">
      <w:pPr>
        <w:overflowPunct/>
        <w:autoSpaceDE/>
        <w:autoSpaceDN/>
        <w:adjustRightInd/>
        <w:jc w:val="both"/>
        <w:textAlignment w:val="auto"/>
        <w:rPr>
          <w:rFonts w:ascii="Verdana" w:hAnsi="Verdana" w:cs="Arial"/>
          <w:color w:val="000000"/>
          <w:sz w:val="18"/>
          <w:szCs w:val="18"/>
          <w:shd w:val="clear" w:color="auto" w:fill="FFFFFF"/>
        </w:rPr>
      </w:pPr>
    </w:p>
    <w:p w:rsidR="008C5DAA" w:rsidRPr="00546921" w:rsidRDefault="008C5DAA" w:rsidP="00306829">
      <w:pPr>
        <w:overflowPunct/>
        <w:autoSpaceDE/>
        <w:autoSpaceDN/>
        <w:adjustRightInd/>
        <w:jc w:val="both"/>
        <w:textAlignment w:val="auto"/>
        <w:rPr>
          <w:rFonts w:ascii="Verdana" w:hAnsi="Verdana" w:cs="Arial"/>
          <w:color w:val="000000"/>
          <w:sz w:val="18"/>
          <w:szCs w:val="18"/>
          <w:shd w:val="clear" w:color="auto" w:fill="FFFFFF"/>
        </w:rPr>
      </w:pPr>
      <w:r w:rsidRPr="00546921">
        <w:rPr>
          <w:rFonts w:ascii="Verdana" w:hAnsi="Verdana" w:cs="Arial"/>
          <w:color w:val="000000"/>
          <w:sz w:val="18"/>
          <w:szCs w:val="18"/>
          <w:shd w:val="clear" w:color="auto" w:fill="FFFFFF"/>
        </w:rPr>
        <w:t>On 6 March 2015 SARS published updated Customs and Excise Rules.</w:t>
      </w:r>
    </w:p>
    <w:p w:rsidR="008C5DAA" w:rsidRPr="00546921" w:rsidRDefault="008C5DAA" w:rsidP="00306829">
      <w:pPr>
        <w:overflowPunct/>
        <w:autoSpaceDE/>
        <w:autoSpaceDN/>
        <w:adjustRightInd/>
        <w:jc w:val="both"/>
        <w:textAlignment w:val="auto"/>
        <w:rPr>
          <w:rFonts w:ascii="Verdana" w:hAnsi="Verdana" w:cs="Arial"/>
          <w:color w:val="000000"/>
          <w:sz w:val="18"/>
          <w:szCs w:val="18"/>
          <w:shd w:val="clear" w:color="auto" w:fill="FFFFFF"/>
        </w:rPr>
      </w:pPr>
    </w:p>
    <w:p w:rsidR="007F12DB" w:rsidRDefault="007F12DB" w:rsidP="00306829">
      <w:pPr>
        <w:overflowPunct/>
        <w:autoSpaceDE/>
        <w:autoSpaceDN/>
        <w:adjustRightInd/>
        <w:jc w:val="both"/>
        <w:textAlignment w:val="auto"/>
        <w:rPr>
          <w:rFonts w:ascii="Verdana" w:hAnsi="Verdana" w:cs="Arial"/>
          <w:color w:val="000000"/>
          <w:sz w:val="18"/>
          <w:szCs w:val="18"/>
          <w:shd w:val="clear" w:color="auto" w:fill="FFFFFF"/>
        </w:rPr>
      </w:pPr>
      <w:r w:rsidRPr="00546921">
        <w:rPr>
          <w:rFonts w:ascii="Verdana" w:hAnsi="Verdana" w:cs="Arial"/>
          <w:color w:val="000000"/>
          <w:sz w:val="18"/>
          <w:szCs w:val="18"/>
          <w:shd w:val="clear" w:color="auto" w:fill="FFFFFF"/>
        </w:rPr>
        <w:t xml:space="preserve">On 16 March 2015 SARS issued notice 212 </w:t>
      </w:r>
      <w:r w:rsidR="0004295E" w:rsidRPr="00546921">
        <w:rPr>
          <w:rFonts w:ascii="Verdana" w:hAnsi="Verdana" w:cs="Arial"/>
          <w:color w:val="000000"/>
          <w:sz w:val="18"/>
          <w:szCs w:val="18"/>
          <w:shd w:val="clear" w:color="auto" w:fill="FFFFFF"/>
        </w:rPr>
        <w:t xml:space="preserve">on </w:t>
      </w:r>
      <w:r w:rsidRPr="00546921">
        <w:rPr>
          <w:rFonts w:ascii="Verdana" w:hAnsi="Verdana" w:cs="Arial"/>
          <w:color w:val="000000"/>
          <w:sz w:val="18"/>
          <w:szCs w:val="18"/>
          <w:shd w:val="clear" w:color="auto" w:fill="FFFFFF"/>
        </w:rPr>
        <w:t>reportable arrangements</w:t>
      </w:r>
      <w:r w:rsidR="0004295E" w:rsidRPr="00546921">
        <w:rPr>
          <w:rFonts w:ascii="Verdana" w:hAnsi="Verdana"/>
          <w:color w:val="000000"/>
          <w:sz w:val="16"/>
          <w:szCs w:val="16"/>
          <w:shd w:val="clear" w:color="auto" w:fill="FFFFFF"/>
        </w:rPr>
        <w:t xml:space="preserve"> in </w:t>
      </w:r>
      <w:r w:rsidR="0004295E" w:rsidRPr="00546921">
        <w:rPr>
          <w:rFonts w:ascii="Verdana" w:hAnsi="Verdana" w:cs="Arial"/>
          <w:color w:val="000000"/>
          <w:sz w:val="18"/>
          <w:szCs w:val="18"/>
          <w:shd w:val="clear" w:color="auto" w:fill="FFFFFF"/>
        </w:rPr>
        <w:t>terms of s 35(2)</w:t>
      </w:r>
      <w:r w:rsidR="00EC105E" w:rsidRPr="00546921">
        <w:rPr>
          <w:rFonts w:ascii="Verdana" w:hAnsi="Verdana" w:cs="Arial"/>
          <w:color w:val="000000"/>
          <w:sz w:val="18"/>
          <w:szCs w:val="18"/>
          <w:shd w:val="clear" w:color="auto" w:fill="FFFFFF"/>
        </w:rPr>
        <w:t xml:space="preserve"> of the Tax Administration Act 28 of 2011</w:t>
      </w:r>
      <w:r w:rsidR="0004295E" w:rsidRPr="00546921">
        <w:rPr>
          <w:rFonts w:ascii="Verdana" w:hAnsi="Verdana" w:cs="Arial"/>
          <w:color w:val="000000"/>
          <w:sz w:val="18"/>
          <w:szCs w:val="18"/>
          <w:shd w:val="clear" w:color="auto" w:fill="FFFFFF"/>
        </w:rPr>
        <w:t>.</w:t>
      </w:r>
    </w:p>
    <w:p w:rsidR="000D4E5D" w:rsidRPr="00CD08D9" w:rsidRDefault="000D4E5D" w:rsidP="00306829">
      <w:pPr>
        <w:overflowPunct/>
        <w:autoSpaceDE/>
        <w:autoSpaceDN/>
        <w:adjustRightInd/>
        <w:jc w:val="both"/>
        <w:textAlignment w:val="auto"/>
        <w:rPr>
          <w:rFonts w:ascii="Verdana" w:hAnsi="Verdana" w:cs="Arial"/>
          <w:color w:val="000000"/>
          <w:sz w:val="18"/>
          <w:szCs w:val="18"/>
          <w:shd w:val="clear" w:color="auto" w:fill="FFFFFF"/>
        </w:rPr>
      </w:pPr>
    </w:p>
    <w:p w:rsidR="00CA4CFE" w:rsidRDefault="00CA4CFE" w:rsidP="00655261">
      <w:pPr>
        <w:overflowPunct/>
        <w:autoSpaceDE/>
        <w:autoSpaceDN/>
        <w:adjustRightInd/>
        <w:jc w:val="center"/>
        <w:textAlignment w:val="auto"/>
        <w:rPr>
          <w:rFonts w:ascii="Verdana" w:hAnsi="Verdana"/>
          <w:b/>
          <w:color w:val="008080"/>
          <w:sz w:val="24"/>
          <w:szCs w:val="24"/>
        </w:rPr>
      </w:pPr>
    </w:p>
    <w:p w:rsidR="0004295E" w:rsidRDefault="00E614F9" w:rsidP="00655261">
      <w:pPr>
        <w:overflowPunct/>
        <w:autoSpaceDE/>
        <w:autoSpaceDN/>
        <w:adjustRightInd/>
        <w:jc w:val="center"/>
        <w:textAlignment w:val="auto"/>
        <w:rPr>
          <w:rFonts w:ascii="Verdana" w:hAnsi="Verdana"/>
          <w:b/>
          <w:color w:val="008080"/>
          <w:sz w:val="24"/>
          <w:szCs w:val="24"/>
        </w:rPr>
      </w:pPr>
      <w:r w:rsidRPr="00655261">
        <w:rPr>
          <w:rFonts w:ascii="Verdana" w:hAnsi="Verdana"/>
          <w:b/>
          <w:color w:val="008080"/>
          <w:sz w:val="24"/>
          <w:szCs w:val="24"/>
        </w:rPr>
        <w:t>INTERNATIONAL TAXATION</w:t>
      </w:r>
    </w:p>
    <w:p w:rsidR="0004295E" w:rsidRPr="00655261" w:rsidRDefault="0004295E" w:rsidP="00655261">
      <w:pPr>
        <w:overflowPunct/>
        <w:autoSpaceDE/>
        <w:autoSpaceDN/>
        <w:adjustRightInd/>
        <w:jc w:val="center"/>
        <w:textAlignment w:val="auto"/>
        <w:rPr>
          <w:rFonts w:ascii="Verdana" w:hAnsi="Verdana"/>
          <w:b/>
          <w:color w:val="008080"/>
          <w:sz w:val="24"/>
          <w:szCs w:val="24"/>
        </w:rPr>
      </w:pPr>
    </w:p>
    <w:p w:rsidR="00E614F9" w:rsidRPr="00546921" w:rsidRDefault="00E614F9" w:rsidP="00306829">
      <w:pPr>
        <w:overflowPunct/>
        <w:autoSpaceDE/>
        <w:autoSpaceDN/>
        <w:adjustRightInd/>
        <w:jc w:val="both"/>
        <w:textAlignment w:val="auto"/>
        <w:rPr>
          <w:rFonts w:ascii="Verdana" w:hAnsi="Verdana"/>
          <w:sz w:val="18"/>
          <w:szCs w:val="18"/>
          <w:lang w:val="en-ZA" w:eastAsia="en-ZA"/>
        </w:rPr>
      </w:pPr>
      <w:r w:rsidRPr="00546921">
        <w:rPr>
          <w:rFonts w:ascii="Verdana" w:hAnsi="Verdana"/>
          <w:sz w:val="18"/>
          <w:szCs w:val="18"/>
          <w:lang w:val="en-ZA" w:eastAsia="en-ZA"/>
        </w:rPr>
        <w:t>On 3</w:t>
      </w:r>
      <w:r w:rsidR="00073B95" w:rsidRPr="00546921">
        <w:rPr>
          <w:rFonts w:ascii="Verdana" w:hAnsi="Verdana"/>
          <w:sz w:val="18"/>
          <w:szCs w:val="18"/>
          <w:lang w:val="en-ZA" w:eastAsia="en-ZA"/>
        </w:rPr>
        <w:t>0</w:t>
      </w:r>
      <w:r w:rsidRPr="00546921">
        <w:rPr>
          <w:rFonts w:ascii="Verdana" w:hAnsi="Verdana"/>
          <w:sz w:val="18"/>
          <w:szCs w:val="18"/>
          <w:lang w:val="en-ZA" w:eastAsia="en-ZA"/>
        </w:rPr>
        <w:t xml:space="preserve"> March 2015 SARS released a Mut</w:t>
      </w:r>
      <w:r w:rsidR="00DC7DDA">
        <w:rPr>
          <w:rFonts w:ascii="Verdana" w:hAnsi="Verdana"/>
          <w:sz w:val="18"/>
          <w:szCs w:val="18"/>
          <w:lang w:val="en-ZA" w:eastAsia="en-ZA"/>
        </w:rPr>
        <w:t>ual Assistance Agreement on VAT</w:t>
      </w:r>
      <w:r w:rsidR="00B754BD" w:rsidRPr="00546921">
        <w:rPr>
          <w:rFonts w:ascii="Verdana" w:hAnsi="Verdana"/>
          <w:sz w:val="18"/>
          <w:szCs w:val="18"/>
          <w:lang w:val="en-ZA" w:eastAsia="en-ZA"/>
        </w:rPr>
        <w:t xml:space="preserve"> </w:t>
      </w:r>
      <w:r w:rsidRPr="00546921">
        <w:rPr>
          <w:rFonts w:ascii="Verdana" w:hAnsi="Verdana"/>
          <w:sz w:val="18"/>
          <w:szCs w:val="18"/>
          <w:lang w:val="en-ZA" w:eastAsia="en-ZA"/>
        </w:rPr>
        <w:t>with Swaziland which came into force on 27 January 2015.</w:t>
      </w:r>
    </w:p>
    <w:p w:rsidR="00F83DAF" w:rsidRPr="00546921" w:rsidRDefault="00F83DAF" w:rsidP="00306829">
      <w:pPr>
        <w:overflowPunct/>
        <w:autoSpaceDE/>
        <w:autoSpaceDN/>
        <w:adjustRightInd/>
        <w:jc w:val="both"/>
        <w:textAlignment w:val="auto"/>
        <w:rPr>
          <w:rFonts w:ascii="Verdana" w:hAnsi="Verdana"/>
          <w:sz w:val="18"/>
          <w:szCs w:val="18"/>
          <w:lang w:val="en-ZA" w:eastAsia="en-ZA"/>
        </w:rPr>
      </w:pPr>
    </w:p>
    <w:p w:rsidR="00F83DAF" w:rsidRDefault="00CC3186" w:rsidP="00306829">
      <w:pPr>
        <w:overflowPunct/>
        <w:autoSpaceDE/>
        <w:autoSpaceDN/>
        <w:adjustRightInd/>
        <w:jc w:val="both"/>
        <w:textAlignment w:val="auto"/>
        <w:rPr>
          <w:rFonts w:ascii="Verdana" w:hAnsi="Verdana"/>
          <w:sz w:val="18"/>
          <w:szCs w:val="18"/>
          <w:lang w:val="en-ZA" w:eastAsia="en-ZA"/>
        </w:rPr>
      </w:pPr>
      <w:r w:rsidRPr="00546921">
        <w:rPr>
          <w:rFonts w:ascii="Verdana" w:hAnsi="Verdana"/>
          <w:sz w:val="18"/>
          <w:szCs w:val="18"/>
          <w:lang w:val="en-ZA" w:eastAsia="en-ZA"/>
        </w:rPr>
        <w:t xml:space="preserve">On 21 May 2015 in GG 38747 SARS released a </w:t>
      </w:r>
      <w:r w:rsidR="00DC7DDA">
        <w:rPr>
          <w:rFonts w:ascii="Verdana" w:hAnsi="Verdana"/>
          <w:sz w:val="18"/>
          <w:szCs w:val="18"/>
          <w:lang w:val="en-ZA" w:eastAsia="en-ZA"/>
        </w:rPr>
        <w:t>VAT Mutual Assistance Agreement</w:t>
      </w:r>
      <w:r w:rsidR="00331C65" w:rsidRPr="00546921">
        <w:rPr>
          <w:rFonts w:ascii="Verdana" w:hAnsi="Verdana"/>
          <w:sz w:val="18"/>
          <w:szCs w:val="18"/>
          <w:lang w:val="en-ZA" w:eastAsia="en-ZA"/>
        </w:rPr>
        <w:t xml:space="preserve"> </w:t>
      </w:r>
      <w:r w:rsidR="00D17D5C" w:rsidRPr="00546921">
        <w:rPr>
          <w:rFonts w:ascii="Verdana" w:hAnsi="Verdana"/>
          <w:sz w:val="18"/>
          <w:szCs w:val="18"/>
          <w:lang w:val="en-ZA" w:eastAsia="en-ZA"/>
        </w:rPr>
        <w:t xml:space="preserve">with Lesotho </w:t>
      </w:r>
      <w:r w:rsidR="00F83DAF" w:rsidRPr="00546921">
        <w:rPr>
          <w:rFonts w:ascii="Verdana" w:hAnsi="Verdana"/>
          <w:sz w:val="18"/>
          <w:szCs w:val="18"/>
          <w:lang w:val="en-ZA" w:eastAsia="en-ZA"/>
        </w:rPr>
        <w:t>which came into force on 29 October 2014</w:t>
      </w:r>
      <w:r w:rsidRPr="00546921">
        <w:rPr>
          <w:rFonts w:ascii="Verdana" w:hAnsi="Verdana"/>
          <w:sz w:val="18"/>
          <w:szCs w:val="18"/>
          <w:lang w:val="en-ZA" w:eastAsia="en-ZA"/>
        </w:rPr>
        <w:t>.</w:t>
      </w:r>
    </w:p>
    <w:p w:rsidR="0004295E" w:rsidRDefault="0004295E" w:rsidP="00655261">
      <w:pPr>
        <w:overflowPunct/>
        <w:autoSpaceDE/>
        <w:autoSpaceDN/>
        <w:adjustRightInd/>
        <w:textAlignment w:val="auto"/>
        <w:rPr>
          <w:rFonts w:ascii="Verdana" w:hAnsi="Verdana"/>
          <w:sz w:val="18"/>
          <w:szCs w:val="18"/>
          <w:lang w:val="en-ZA" w:eastAsia="en-ZA"/>
        </w:rPr>
      </w:pPr>
    </w:p>
    <w:p w:rsidR="0004295E" w:rsidRDefault="0004295E" w:rsidP="00655261">
      <w:pPr>
        <w:overflowPunct/>
        <w:autoSpaceDE/>
        <w:autoSpaceDN/>
        <w:adjustRightInd/>
        <w:textAlignment w:val="auto"/>
        <w:rPr>
          <w:rFonts w:ascii="Verdana" w:hAnsi="Verdana"/>
          <w:sz w:val="18"/>
          <w:szCs w:val="18"/>
          <w:lang w:val="en-ZA" w:eastAsia="en-ZA"/>
        </w:rPr>
      </w:pPr>
    </w:p>
    <w:p w:rsidR="0004295E" w:rsidRDefault="0004295E" w:rsidP="00655261">
      <w:pPr>
        <w:overflowPunct/>
        <w:autoSpaceDE/>
        <w:autoSpaceDN/>
        <w:adjustRightInd/>
        <w:textAlignment w:val="auto"/>
        <w:rPr>
          <w:rFonts w:ascii="Verdana" w:hAnsi="Verdana"/>
          <w:sz w:val="18"/>
          <w:szCs w:val="18"/>
          <w:lang w:val="en-ZA" w:eastAsia="en-ZA"/>
        </w:rPr>
      </w:pPr>
    </w:p>
    <w:p w:rsidR="00AC0E2B" w:rsidRDefault="00D64156" w:rsidP="00655261">
      <w:pPr>
        <w:overflowPunct/>
        <w:autoSpaceDE/>
        <w:autoSpaceDN/>
        <w:adjustRightInd/>
        <w:jc w:val="center"/>
        <w:textAlignment w:val="auto"/>
        <w:rPr>
          <w:rFonts w:ascii="Verdana" w:hAnsi="Verdana"/>
          <w:b/>
          <w:color w:val="008080"/>
          <w:sz w:val="24"/>
          <w:szCs w:val="18"/>
        </w:rPr>
      </w:pPr>
      <w:r>
        <w:rPr>
          <w:rFonts w:ascii="Verdana" w:hAnsi="Verdana"/>
          <w:b/>
          <w:color w:val="008080"/>
          <w:sz w:val="24"/>
          <w:szCs w:val="18"/>
        </w:rPr>
        <w:t>GUIDES</w:t>
      </w:r>
    </w:p>
    <w:p w:rsidR="0004295E" w:rsidRDefault="0004295E" w:rsidP="0087026E">
      <w:pPr>
        <w:overflowPunct/>
        <w:autoSpaceDE/>
        <w:autoSpaceDN/>
        <w:adjustRightInd/>
        <w:jc w:val="center"/>
        <w:textAlignment w:val="auto"/>
        <w:rPr>
          <w:rFonts w:ascii="Verdana" w:hAnsi="Verdana"/>
          <w:b/>
          <w:color w:val="008080"/>
          <w:sz w:val="24"/>
          <w:szCs w:val="18"/>
        </w:rPr>
      </w:pPr>
    </w:p>
    <w:p w:rsidR="00AE0F7B" w:rsidRDefault="00AE0F7B"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AE0F7B" w:rsidRPr="00546921" w:rsidRDefault="00AE0F7B"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w:t>
      </w:r>
      <w:r w:rsidR="00631576" w:rsidRPr="00546921">
        <w:rPr>
          <w:rFonts w:ascii="Verdana" w:hAnsi="Verdana"/>
          <w:color w:val="182738"/>
          <w:sz w:val="18"/>
          <w:szCs w:val="18"/>
          <w:shd w:val="clear" w:color="auto" w:fill="FFFFFF"/>
        </w:rPr>
        <w:t>26</w:t>
      </w:r>
      <w:r w:rsidRPr="00546921">
        <w:rPr>
          <w:rFonts w:ascii="Verdana" w:hAnsi="Verdana"/>
          <w:color w:val="182738"/>
          <w:sz w:val="18"/>
          <w:szCs w:val="18"/>
          <w:shd w:val="clear" w:color="auto" w:fill="FFFFFF"/>
        </w:rPr>
        <w:t xml:space="preserve"> March 2015 SARS issued</w:t>
      </w:r>
      <w:r w:rsidR="00631576" w:rsidRPr="00546921">
        <w:rPr>
          <w:rFonts w:ascii="Verdana" w:hAnsi="Verdana"/>
          <w:color w:val="182738"/>
          <w:sz w:val="18"/>
          <w:szCs w:val="18"/>
          <w:shd w:val="clear" w:color="auto" w:fill="FFFFFF"/>
        </w:rPr>
        <w:t xml:space="preserve"> a </w:t>
      </w:r>
      <w:r w:rsidR="00631576" w:rsidRPr="00546921">
        <w:rPr>
          <w:rFonts w:ascii="Verdana" w:hAnsi="Verdana"/>
          <w:i/>
          <w:color w:val="182738"/>
          <w:sz w:val="18"/>
          <w:szCs w:val="18"/>
          <w:shd w:val="clear" w:color="auto" w:fill="FFFFFF"/>
        </w:rPr>
        <w:t>G</w:t>
      </w:r>
      <w:r w:rsidRPr="00546921">
        <w:rPr>
          <w:rFonts w:ascii="Verdana" w:hAnsi="Verdana"/>
          <w:i/>
          <w:color w:val="182738"/>
          <w:sz w:val="18"/>
          <w:szCs w:val="18"/>
          <w:shd w:val="clear" w:color="auto" w:fill="FFFFFF"/>
        </w:rPr>
        <w:t>uide to Taxation in South Africa</w:t>
      </w:r>
      <w:r w:rsidR="006703E4" w:rsidRPr="00546921">
        <w:rPr>
          <w:rFonts w:ascii="Verdana" w:hAnsi="Verdana"/>
          <w:color w:val="182738"/>
          <w:sz w:val="18"/>
          <w:szCs w:val="18"/>
          <w:shd w:val="clear" w:color="auto" w:fill="FFFFFF"/>
        </w:rPr>
        <w:t xml:space="preserve"> </w:t>
      </w:r>
      <w:r w:rsidRPr="00546921">
        <w:rPr>
          <w:rFonts w:ascii="Verdana" w:hAnsi="Verdana"/>
          <w:color w:val="182738"/>
          <w:sz w:val="18"/>
          <w:szCs w:val="18"/>
          <w:shd w:val="clear" w:color="auto" w:fill="FFFFFF"/>
        </w:rPr>
        <w:t>2014/2015</w:t>
      </w:r>
      <w:r w:rsidR="00EC105E" w:rsidRPr="00546921">
        <w:rPr>
          <w:rFonts w:ascii="Verdana" w:hAnsi="Verdana"/>
          <w:color w:val="182738"/>
          <w:sz w:val="18"/>
          <w:szCs w:val="18"/>
          <w:shd w:val="clear" w:color="auto" w:fill="FFFFFF"/>
        </w:rPr>
        <w:t>.</w:t>
      </w:r>
    </w:p>
    <w:p w:rsidR="00AB0D45" w:rsidRPr="00546921" w:rsidRDefault="00AB0D45"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AB0D45" w:rsidRPr="00546921" w:rsidRDefault="00EF0A16"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On 26</w:t>
      </w:r>
      <w:r w:rsidR="00AB0D45" w:rsidRPr="00546921">
        <w:rPr>
          <w:rFonts w:ascii="Verdana" w:hAnsi="Verdana"/>
          <w:color w:val="182738"/>
          <w:sz w:val="18"/>
          <w:szCs w:val="18"/>
          <w:shd w:val="clear" w:color="auto" w:fill="FFFFFF"/>
        </w:rPr>
        <w:t xml:space="preserve"> March 2015 SARS released a </w:t>
      </w:r>
      <w:r w:rsidR="00631576" w:rsidRPr="00546921">
        <w:rPr>
          <w:rFonts w:ascii="Verdana" w:hAnsi="Verdana"/>
          <w:i/>
          <w:color w:val="182738"/>
          <w:sz w:val="18"/>
          <w:szCs w:val="18"/>
          <w:shd w:val="clear" w:color="auto" w:fill="FFFFFF"/>
        </w:rPr>
        <w:t>G</w:t>
      </w:r>
      <w:r w:rsidR="00AB0D45" w:rsidRPr="00546921">
        <w:rPr>
          <w:rFonts w:ascii="Verdana" w:hAnsi="Verdana"/>
          <w:i/>
          <w:color w:val="182738"/>
          <w:sz w:val="18"/>
          <w:szCs w:val="18"/>
          <w:shd w:val="clear" w:color="auto" w:fill="FFFFFF"/>
        </w:rPr>
        <w:t>uide on Tax Rates, Duties and Levies</w:t>
      </w:r>
      <w:r w:rsidR="006703E4" w:rsidRPr="00546921">
        <w:rPr>
          <w:rFonts w:ascii="Verdana" w:hAnsi="Verdana"/>
          <w:color w:val="182738"/>
          <w:sz w:val="18"/>
          <w:szCs w:val="18"/>
          <w:shd w:val="clear" w:color="auto" w:fill="FFFFFF"/>
        </w:rPr>
        <w:t xml:space="preserve"> </w:t>
      </w:r>
      <w:r w:rsidRPr="00546921">
        <w:rPr>
          <w:rFonts w:ascii="Verdana" w:hAnsi="Verdana"/>
          <w:color w:val="182738"/>
          <w:sz w:val="18"/>
          <w:szCs w:val="18"/>
          <w:shd w:val="clear" w:color="auto" w:fill="FFFFFF"/>
        </w:rPr>
        <w:t>(issue 11)</w:t>
      </w:r>
      <w:r w:rsidR="00EC105E" w:rsidRPr="00546921">
        <w:rPr>
          <w:rFonts w:ascii="Verdana" w:hAnsi="Verdana"/>
          <w:color w:val="182738"/>
          <w:sz w:val="18"/>
          <w:szCs w:val="18"/>
          <w:shd w:val="clear" w:color="auto" w:fill="FFFFFF"/>
        </w:rPr>
        <w:t>.</w:t>
      </w:r>
    </w:p>
    <w:p w:rsidR="00C51E1E" w:rsidRPr="00546921" w:rsidRDefault="00C51E1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C51E1E" w:rsidRPr="00546921" w:rsidRDefault="00C51E1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27 March 2015 SARS issued a </w:t>
      </w:r>
      <w:r w:rsidR="00DC7DDA">
        <w:rPr>
          <w:rFonts w:ascii="Verdana" w:hAnsi="Verdana"/>
          <w:i/>
          <w:color w:val="182738"/>
          <w:sz w:val="18"/>
          <w:szCs w:val="18"/>
          <w:shd w:val="clear" w:color="auto" w:fill="FFFFFF"/>
        </w:rPr>
        <w:t>Tax Guide for Small Businesses</w:t>
      </w:r>
      <w:r w:rsidR="006703E4" w:rsidRPr="00546921">
        <w:rPr>
          <w:rFonts w:ascii="Verdana" w:hAnsi="Verdana"/>
          <w:color w:val="182738"/>
          <w:sz w:val="18"/>
          <w:szCs w:val="18"/>
          <w:shd w:val="clear" w:color="auto" w:fill="FFFFFF"/>
        </w:rPr>
        <w:t xml:space="preserve"> </w:t>
      </w:r>
      <w:r w:rsidRPr="00546921">
        <w:rPr>
          <w:rFonts w:ascii="Verdana" w:hAnsi="Verdana"/>
          <w:color w:val="182738"/>
          <w:sz w:val="18"/>
          <w:szCs w:val="18"/>
          <w:shd w:val="clear" w:color="auto" w:fill="FFFFFF"/>
        </w:rPr>
        <w:t>2014/2015</w:t>
      </w:r>
      <w:r w:rsidR="00EC105E" w:rsidRPr="00546921">
        <w:rPr>
          <w:rFonts w:ascii="Verdana" w:hAnsi="Verdana"/>
          <w:color w:val="182738"/>
          <w:sz w:val="18"/>
          <w:szCs w:val="18"/>
          <w:shd w:val="clear" w:color="auto" w:fill="FFFFFF"/>
        </w:rPr>
        <w:t>.</w:t>
      </w:r>
    </w:p>
    <w:p w:rsidR="00482B49" w:rsidRPr="00546921" w:rsidRDefault="00482B49"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482B49" w:rsidRPr="00546921" w:rsidRDefault="00482B49"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27 March 2015 SARS issued </w:t>
      </w:r>
      <w:r w:rsidR="00E8717B" w:rsidRPr="00546921">
        <w:rPr>
          <w:rFonts w:ascii="Verdana" w:hAnsi="Verdana"/>
          <w:color w:val="182738"/>
          <w:sz w:val="18"/>
          <w:szCs w:val="18"/>
          <w:shd w:val="clear" w:color="auto" w:fill="FFFFFF"/>
        </w:rPr>
        <w:t xml:space="preserve">a </w:t>
      </w:r>
      <w:r w:rsidRPr="00546921">
        <w:rPr>
          <w:rFonts w:ascii="Verdana" w:hAnsi="Verdana"/>
          <w:color w:val="182738"/>
          <w:sz w:val="18"/>
          <w:szCs w:val="18"/>
          <w:shd w:val="clear" w:color="auto" w:fill="FFFFFF"/>
        </w:rPr>
        <w:t xml:space="preserve">VAT 413 </w:t>
      </w:r>
      <w:r w:rsidRPr="00546921">
        <w:rPr>
          <w:rFonts w:ascii="Verdana" w:hAnsi="Verdana"/>
          <w:i/>
          <w:color w:val="182738"/>
          <w:sz w:val="18"/>
          <w:szCs w:val="18"/>
          <w:shd w:val="clear" w:color="auto" w:fill="FFFFFF"/>
        </w:rPr>
        <w:t>Guide for Estates</w:t>
      </w:r>
      <w:r w:rsidR="0004295E" w:rsidRPr="00546921">
        <w:rPr>
          <w:rFonts w:ascii="Verdana" w:hAnsi="Verdana"/>
          <w:color w:val="182738"/>
          <w:sz w:val="18"/>
          <w:szCs w:val="18"/>
          <w:shd w:val="clear" w:color="auto" w:fill="FFFFFF"/>
        </w:rPr>
        <w:t>.</w:t>
      </w:r>
    </w:p>
    <w:p w:rsidR="0004295E" w:rsidRPr="00546921" w:rsidRDefault="0004295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04295E" w:rsidRPr="00546921" w:rsidRDefault="0004295E" w:rsidP="0004295E">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31 March 2015 SARS issued a </w:t>
      </w:r>
      <w:r w:rsidRPr="00546921">
        <w:rPr>
          <w:rFonts w:ascii="Verdana" w:hAnsi="Verdana"/>
          <w:i/>
          <w:color w:val="182738"/>
          <w:sz w:val="18"/>
          <w:szCs w:val="18"/>
          <w:shd w:val="clear" w:color="auto" w:fill="FFFFFF"/>
        </w:rPr>
        <w:t>Draft Guide on the Taxation of Foreigners working in South Africa</w:t>
      </w:r>
      <w:r w:rsidRPr="00546921">
        <w:rPr>
          <w:rFonts w:ascii="Verdana" w:hAnsi="Verdana"/>
          <w:color w:val="182738"/>
          <w:sz w:val="18"/>
          <w:szCs w:val="18"/>
          <w:shd w:val="clear" w:color="auto" w:fill="FFFFFF"/>
        </w:rPr>
        <w:t>.</w:t>
      </w:r>
    </w:p>
    <w:p w:rsidR="00021807" w:rsidRPr="00546921" w:rsidRDefault="00021807"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021807" w:rsidRPr="00546921" w:rsidRDefault="00021807"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31 March 2015 SARS issued a VAT 404 </w:t>
      </w:r>
      <w:r w:rsidRPr="00546921">
        <w:rPr>
          <w:rFonts w:ascii="Verdana" w:hAnsi="Verdana"/>
          <w:i/>
          <w:color w:val="182738"/>
          <w:sz w:val="18"/>
          <w:szCs w:val="18"/>
          <w:shd w:val="clear" w:color="auto" w:fill="FFFFFF"/>
        </w:rPr>
        <w:t>Guide for Vendors</w:t>
      </w:r>
      <w:r w:rsidR="00EC105E" w:rsidRPr="00546921">
        <w:rPr>
          <w:rFonts w:ascii="Verdana" w:hAnsi="Verdana"/>
          <w:color w:val="182738"/>
          <w:sz w:val="18"/>
          <w:szCs w:val="18"/>
          <w:shd w:val="clear" w:color="auto" w:fill="FFFFFF"/>
        </w:rPr>
        <w:t>.</w:t>
      </w:r>
    </w:p>
    <w:p w:rsidR="00C636B5" w:rsidRPr="00546921" w:rsidRDefault="00C636B5"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C636B5" w:rsidRPr="00546921" w:rsidRDefault="003A18D2"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15 April 2015 SARS released </w:t>
      </w:r>
      <w:r w:rsidR="00C636B5" w:rsidRPr="00546921">
        <w:rPr>
          <w:rFonts w:ascii="Verdana" w:hAnsi="Verdana"/>
          <w:i/>
          <w:color w:val="182738"/>
          <w:sz w:val="18"/>
          <w:szCs w:val="18"/>
          <w:shd w:val="clear" w:color="auto" w:fill="FFFFFF"/>
        </w:rPr>
        <w:t xml:space="preserve">The ABC for CGT for </w:t>
      </w:r>
      <w:r w:rsidRPr="00546921">
        <w:rPr>
          <w:rFonts w:ascii="Verdana" w:hAnsi="Verdana"/>
          <w:i/>
          <w:color w:val="182738"/>
          <w:sz w:val="18"/>
          <w:szCs w:val="18"/>
          <w:shd w:val="clear" w:color="auto" w:fill="FFFFFF"/>
        </w:rPr>
        <w:t>I</w:t>
      </w:r>
      <w:r w:rsidR="00C636B5" w:rsidRPr="00546921">
        <w:rPr>
          <w:rFonts w:ascii="Verdana" w:hAnsi="Verdana"/>
          <w:i/>
          <w:color w:val="182738"/>
          <w:sz w:val="18"/>
          <w:szCs w:val="18"/>
          <w:shd w:val="clear" w:color="auto" w:fill="FFFFFF"/>
        </w:rPr>
        <w:t>n</w:t>
      </w:r>
      <w:r w:rsidR="0004295E" w:rsidRPr="00546921">
        <w:rPr>
          <w:rFonts w:ascii="Verdana" w:hAnsi="Verdana"/>
          <w:i/>
          <w:color w:val="182738"/>
          <w:sz w:val="18"/>
          <w:szCs w:val="18"/>
          <w:shd w:val="clear" w:color="auto" w:fill="FFFFFF"/>
        </w:rPr>
        <w:t>div</w:t>
      </w:r>
      <w:r w:rsidR="00C636B5" w:rsidRPr="00546921">
        <w:rPr>
          <w:rFonts w:ascii="Verdana" w:hAnsi="Verdana"/>
          <w:i/>
          <w:color w:val="182738"/>
          <w:sz w:val="18"/>
          <w:szCs w:val="18"/>
          <w:shd w:val="clear" w:color="auto" w:fill="FFFFFF"/>
        </w:rPr>
        <w:t>iduals</w:t>
      </w:r>
      <w:r w:rsidR="00DA7358" w:rsidRPr="00546921">
        <w:rPr>
          <w:rFonts w:ascii="Verdana" w:hAnsi="Verdana"/>
          <w:color w:val="182738"/>
          <w:sz w:val="18"/>
          <w:szCs w:val="18"/>
          <w:shd w:val="clear" w:color="auto" w:fill="FFFFFF"/>
        </w:rPr>
        <w:t xml:space="preserve"> </w:t>
      </w:r>
      <w:r w:rsidR="00C636B5" w:rsidRPr="00546921">
        <w:rPr>
          <w:rFonts w:ascii="Verdana" w:hAnsi="Verdana"/>
          <w:color w:val="182738"/>
          <w:sz w:val="18"/>
          <w:szCs w:val="18"/>
          <w:shd w:val="clear" w:color="auto" w:fill="FFFFFF"/>
        </w:rPr>
        <w:t>(issue 8)</w:t>
      </w:r>
      <w:r w:rsidRPr="00546921">
        <w:rPr>
          <w:rFonts w:ascii="Verdana" w:hAnsi="Verdana"/>
          <w:color w:val="182738"/>
          <w:sz w:val="18"/>
          <w:szCs w:val="18"/>
          <w:shd w:val="clear" w:color="auto" w:fill="FFFFFF"/>
        </w:rPr>
        <w:t xml:space="preserve"> and </w:t>
      </w:r>
      <w:r w:rsidRPr="00546921">
        <w:rPr>
          <w:rFonts w:ascii="Verdana" w:hAnsi="Verdana"/>
          <w:i/>
          <w:color w:val="182738"/>
          <w:sz w:val="18"/>
          <w:szCs w:val="18"/>
          <w:shd w:val="clear" w:color="auto" w:fill="FFFFFF"/>
        </w:rPr>
        <w:t>The</w:t>
      </w:r>
      <w:r w:rsidR="00C636B5" w:rsidRPr="00546921">
        <w:rPr>
          <w:rFonts w:ascii="Verdana" w:hAnsi="Verdana"/>
          <w:i/>
          <w:color w:val="182738"/>
          <w:sz w:val="18"/>
          <w:szCs w:val="18"/>
          <w:shd w:val="clear" w:color="auto" w:fill="FFFFFF"/>
        </w:rPr>
        <w:t xml:space="preserve"> ABC for CGT for </w:t>
      </w:r>
      <w:r w:rsidRPr="00546921">
        <w:rPr>
          <w:rFonts w:ascii="Verdana" w:hAnsi="Verdana"/>
          <w:i/>
          <w:color w:val="182738"/>
          <w:sz w:val="18"/>
          <w:szCs w:val="18"/>
          <w:shd w:val="clear" w:color="auto" w:fill="FFFFFF"/>
        </w:rPr>
        <w:t>C</w:t>
      </w:r>
      <w:r w:rsidR="00C636B5" w:rsidRPr="00546921">
        <w:rPr>
          <w:rFonts w:ascii="Verdana" w:hAnsi="Verdana"/>
          <w:i/>
          <w:color w:val="182738"/>
          <w:sz w:val="18"/>
          <w:szCs w:val="18"/>
          <w:shd w:val="clear" w:color="auto" w:fill="FFFFFF"/>
        </w:rPr>
        <w:t>ompanies</w:t>
      </w:r>
      <w:r w:rsidR="00DA7358" w:rsidRPr="00546921">
        <w:rPr>
          <w:rFonts w:ascii="Verdana" w:hAnsi="Verdana"/>
          <w:color w:val="182738"/>
          <w:sz w:val="18"/>
          <w:szCs w:val="18"/>
          <w:shd w:val="clear" w:color="auto" w:fill="FFFFFF"/>
        </w:rPr>
        <w:t xml:space="preserve"> </w:t>
      </w:r>
      <w:r w:rsidR="00C636B5" w:rsidRPr="00546921">
        <w:rPr>
          <w:rFonts w:ascii="Verdana" w:hAnsi="Verdana"/>
          <w:color w:val="182738"/>
          <w:sz w:val="18"/>
          <w:szCs w:val="18"/>
          <w:shd w:val="clear" w:color="auto" w:fill="FFFFFF"/>
        </w:rPr>
        <w:t>(issue 6)</w:t>
      </w:r>
      <w:r w:rsidR="00EC105E" w:rsidRPr="00546921">
        <w:rPr>
          <w:rFonts w:ascii="Verdana" w:hAnsi="Verdana"/>
          <w:color w:val="182738"/>
          <w:sz w:val="18"/>
          <w:szCs w:val="18"/>
          <w:shd w:val="clear" w:color="auto" w:fill="FFFFFF"/>
        </w:rPr>
        <w:t>.</w:t>
      </w:r>
    </w:p>
    <w:p w:rsidR="002D5210" w:rsidRPr="00546921" w:rsidRDefault="002D5210"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EC105E" w:rsidRDefault="00EC105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31 May 2015 SARS released a draft </w:t>
      </w:r>
      <w:r w:rsidRPr="00546921">
        <w:rPr>
          <w:rFonts w:ascii="Verdana" w:hAnsi="Verdana"/>
          <w:i/>
          <w:color w:val="182738"/>
          <w:sz w:val="18"/>
          <w:szCs w:val="18"/>
          <w:shd w:val="clear" w:color="auto" w:fill="FFFFFF"/>
        </w:rPr>
        <w:t>Comprehensive Guide on Capital Gains Tax</w:t>
      </w:r>
      <w:r w:rsidR="002A121A" w:rsidRPr="00546921">
        <w:rPr>
          <w:rFonts w:ascii="Verdana" w:hAnsi="Verdana"/>
          <w:color w:val="182738"/>
          <w:sz w:val="18"/>
          <w:szCs w:val="18"/>
          <w:shd w:val="clear" w:color="auto" w:fill="FFFFFF"/>
        </w:rPr>
        <w:t xml:space="preserve"> </w:t>
      </w:r>
      <w:r w:rsidRPr="00546921">
        <w:rPr>
          <w:rFonts w:ascii="Verdana" w:hAnsi="Verdana"/>
          <w:color w:val="182738"/>
          <w:sz w:val="18"/>
          <w:szCs w:val="18"/>
          <w:shd w:val="clear" w:color="auto" w:fill="FFFFFF"/>
        </w:rPr>
        <w:t>(issue 5).</w:t>
      </w:r>
    </w:p>
    <w:p w:rsidR="00EC105E" w:rsidRDefault="00EC105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2D5210" w:rsidRPr="00546921" w:rsidRDefault="002D5210"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 xml:space="preserve">On 5 June SARS issued a guide on </w:t>
      </w:r>
      <w:r w:rsidR="005E4969" w:rsidRPr="00546921">
        <w:rPr>
          <w:rFonts w:ascii="Verdana" w:hAnsi="Verdana"/>
          <w:color w:val="182738"/>
          <w:sz w:val="18"/>
          <w:szCs w:val="18"/>
          <w:shd w:val="clear" w:color="auto" w:fill="FFFFFF"/>
        </w:rPr>
        <w:t xml:space="preserve">the </w:t>
      </w:r>
      <w:r w:rsidRPr="00546921">
        <w:rPr>
          <w:rFonts w:ascii="Verdana" w:hAnsi="Verdana"/>
          <w:color w:val="182738"/>
          <w:sz w:val="18"/>
          <w:szCs w:val="18"/>
          <w:shd w:val="clear" w:color="auto" w:fill="FFFFFF"/>
        </w:rPr>
        <w:t>U</w:t>
      </w:r>
      <w:r w:rsidR="005E4969" w:rsidRPr="00546921">
        <w:rPr>
          <w:rFonts w:ascii="Verdana" w:hAnsi="Verdana"/>
          <w:color w:val="182738"/>
          <w:sz w:val="18"/>
          <w:szCs w:val="18"/>
          <w:shd w:val="clear" w:color="auto" w:fill="FFFFFF"/>
        </w:rPr>
        <w:t>nited States Foreign Account Tax Compliance Act (FATCA).</w:t>
      </w:r>
    </w:p>
    <w:p w:rsidR="00A03BB8" w:rsidRPr="00546921" w:rsidRDefault="00A03BB8"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7E7F0E" w:rsidRPr="00546921" w:rsidRDefault="007E7F0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7E7F0E" w:rsidRPr="00546921" w:rsidRDefault="007E7F0E" w:rsidP="00655261">
      <w:pPr>
        <w:spacing w:line="240" w:lineRule="atLeast"/>
        <w:jc w:val="center"/>
        <w:rPr>
          <w:rFonts w:ascii="Verdana" w:hAnsi="Verdana"/>
          <w:b/>
          <w:color w:val="008080"/>
          <w:sz w:val="24"/>
          <w:szCs w:val="18"/>
        </w:rPr>
      </w:pPr>
      <w:r w:rsidRPr="00546921">
        <w:rPr>
          <w:rFonts w:ascii="Verdana" w:hAnsi="Verdana"/>
          <w:b/>
          <w:color w:val="008080"/>
          <w:sz w:val="24"/>
          <w:szCs w:val="18"/>
        </w:rPr>
        <w:t>TAX ADMINISTRATION ACT</w:t>
      </w:r>
    </w:p>
    <w:p w:rsidR="007E7F0E" w:rsidRPr="00546921" w:rsidRDefault="007E7F0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A03BB8" w:rsidRDefault="007E7F0E"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r w:rsidRPr="00546921">
        <w:rPr>
          <w:rFonts w:ascii="Verdana" w:hAnsi="Verdana"/>
          <w:color w:val="182738"/>
          <w:sz w:val="18"/>
          <w:szCs w:val="18"/>
          <w:shd w:val="clear" w:color="auto" w:fill="FFFFFF"/>
        </w:rPr>
        <w:t>On 31 March 2015 SARS issued notice 295 setting out</w:t>
      </w:r>
      <w:r w:rsidR="00A03BB8" w:rsidRPr="00546921">
        <w:rPr>
          <w:rFonts w:ascii="Verdana" w:hAnsi="Verdana"/>
          <w:color w:val="182738"/>
          <w:sz w:val="18"/>
          <w:szCs w:val="18"/>
          <w:shd w:val="clear" w:color="auto" w:fill="FFFFFF"/>
        </w:rPr>
        <w:t xml:space="preserve"> the addresses to which a document, notice or request must be delivered </w:t>
      </w:r>
      <w:r w:rsidR="0095794C" w:rsidRPr="00546921">
        <w:rPr>
          <w:rFonts w:ascii="Verdana" w:hAnsi="Verdana"/>
          <w:color w:val="182738"/>
          <w:sz w:val="18"/>
          <w:szCs w:val="18"/>
          <w:shd w:val="clear" w:color="auto" w:fill="FFFFFF"/>
        </w:rPr>
        <w:t xml:space="preserve">in terms of </w:t>
      </w:r>
      <w:r w:rsidR="00A03BB8" w:rsidRPr="00546921">
        <w:rPr>
          <w:rFonts w:ascii="Verdana" w:hAnsi="Verdana"/>
          <w:color w:val="182738"/>
          <w:sz w:val="18"/>
          <w:szCs w:val="18"/>
          <w:shd w:val="clear" w:color="auto" w:fill="FFFFFF"/>
        </w:rPr>
        <w:t>the rules under s 103 of the Tax Administration Act</w:t>
      </w:r>
      <w:r w:rsidR="00E8717B" w:rsidRPr="00546921">
        <w:rPr>
          <w:rFonts w:ascii="Verdana" w:hAnsi="Verdana"/>
          <w:color w:val="182738"/>
          <w:sz w:val="18"/>
          <w:szCs w:val="18"/>
          <w:shd w:val="clear" w:color="auto" w:fill="FFFFFF"/>
        </w:rPr>
        <w:t xml:space="preserve"> 28 of 2011</w:t>
      </w:r>
      <w:r w:rsidR="00A03BB8" w:rsidRPr="00546921">
        <w:rPr>
          <w:rFonts w:ascii="Verdana" w:hAnsi="Verdana"/>
          <w:color w:val="182738"/>
          <w:sz w:val="18"/>
          <w:szCs w:val="18"/>
          <w:shd w:val="clear" w:color="auto" w:fill="FFFFFF"/>
        </w:rPr>
        <w:t>.</w:t>
      </w:r>
      <w:r w:rsidRPr="00546921">
        <w:rPr>
          <w:rFonts w:ascii="Verdana" w:hAnsi="Verdana"/>
          <w:color w:val="182738"/>
          <w:sz w:val="18"/>
          <w:szCs w:val="18"/>
          <w:shd w:val="clear" w:color="auto" w:fill="FFFFFF"/>
        </w:rPr>
        <w:t xml:space="preserve"> </w:t>
      </w:r>
      <w:r w:rsidR="00B02C9D" w:rsidRPr="00546921">
        <w:rPr>
          <w:rFonts w:ascii="Verdana" w:hAnsi="Verdana"/>
          <w:color w:val="182738"/>
          <w:sz w:val="18"/>
          <w:szCs w:val="18"/>
          <w:shd w:val="clear" w:color="auto" w:fill="FFFFFF"/>
        </w:rPr>
        <w:t>Separate addresses are stipulated for</w:t>
      </w:r>
      <w:r w:rsidRPr="00546921">
        <w:rPr>
          <w:rFonts w:ascii="Verdana" w:hAnsi="Verdana"/>
          <w:color w:val="182738"/>
          <w:sz w:val="18"/>
          <w:szCs w:val="18"/>
          <w:shd w:val="clear" w:color="auto" w:fill="FFFFFF"/>
        </w:rPr>
        <w:t xml:space="preserve"> notices to SARS, the Tax Board, the Tax Court </w:t>
      </w:r>
      <w:r w:rsidR="00274E12" w:rsidRPr="00546921">
        <w:rPr>
          <w:rFonts w:ascii="Verdana" w:hAnsi="Verdana"/>
          <w:color w:val="182738"/>
          <w:sz w:val="18"/>
          <w:szCs w:val="18"/>
          <w:shd w:val="clear" w:color="auto" w:fill="FFFFFF"/>
        </w:rPr>
        <w:t>and</w:t>
      </w:r>
      <w:r w:rsidRPr="00546921">
        <w:rPr>
          <w:rFonts w:ascii="Verdana" w:hAnsi="Verdana"/>
          <w:color w:val="182738"/>
          <w:sz w:val="18"/>
          <w:szCs w:val="18"/>
          <w:shd w:val="clear" w:color="auto" w:fill="FFFFFF"/>
        </w:rPr>
        <w:t xml:space="preserve"> the High Court</w:t>
      </w:r>
      <w:r w:rsidR="0095794C" w:rsidRPr="00546921">
        <w:rPr>
          <w:rFonts w:ascii="Verdana" w:hAnsi="Verdana"/>
          <w:color w:val="182738"/>
          <w:sz w:val="18"/>
          <w:szCs w:val="18"/>
          <w:shd w:val="clear" w:color="auto" w:fill="FFFFFF"/>
        </w:rPr>
        <w:t>, respectively.</w:t>
      </w:r>
    </w:p>
    <w:p w:rsidR="00A03BB8" w:rsidRPr="009125F9" w:rsidRDefault="00A03BB8" w:rsidP="009125F9">
      <w:pPr>
        <w:shd w:val="clear" w:color="auto" w:fill="FFFFFF"/>
        <w:overflowPunct/>
        <w:autoSpaceDE/>
        <w:autoSpaceDN/>
        <w:adjustRightInd/>
        <w:jc w:val="both"/>
        <w:textAlignment w:val="auto"/>
        <w:rPr>
          <w:rFonts w:ascii="Verdana" w:hAnsi="Verdana"/>
          <w:color w:val="182738"/>
          <w:sz w:val="18"/>
          <w:szCs w:val="18"/>
          <w:shd w:val="clear" w:color="auto" w:fill="FFFFFF"/>
        </w:rPr>
      </w:pPr>
    </w:p>
    <w:p w:rsidR="0095794C" w:rsidRDefault="0095794C" w:rsidP="0087026E">
      <w:pPr>
        <w:pStyle w:val="NormalWeb"/>
        <w:shd w:val="clear" w:color="auto" w:fill="FFFFFF"/>
        <w:spacing w:before="0" w:beforeAutospacing="0" w:after="0" w:afterAutospacing="0"/>
        <w:ind w:left="1080"/>
        <w:rPr>
          <w:rFonts w:ascii="Verdana" w:hAnsi="Verdana"/>
          <w:sz w:val="18"/>
          <w:szCs w:val="18"/>
        </w:rPr>
      </w:pPr>
    </w:p>
    <w:p w:rsidR="008B7FC8" w:rsidRDefault="008B7FC8" w:rsidP="008B7FC8">
      <w:pPr>
        <w:spacing w:line="240" w:lineRule="atLeast"/>
        <w:jc w:val="center"/>
        <w:rPr>
          <w:rFonts w:ascii="Verdana" w:hAnsi="Verdana"/>
          <w:b/>
          <w:color w:val="008080"/>
          <w:sz w:val="24"/>
          <w:szCs w:val="24"/>
        </w:rPr>
      </w:pPr>
      <w:r>
        <w:rPr>
          <w:rFonts w:ascii="Verdana" w:hAnsi="Verdana"/>
          <w:b/>
          <w:color w:val="008080"/>
          <w:sz w:val="24"/>
          <w:szCs w:val="18"/>
        </w:rPr>
        <w:t>B</w:t>
      </w:r>
      <w:r>
        <w:rPr>
          <w:rFonts w:ascii="Verdana" w:hAnsi="Verdana"/>
          <w:b/>
          <w:color w:val="008080"/>
          <w:sz w:val="24"/>
          <w:szCs w:val="24"/>
        </w:rPr>
        <w:t>INDING RULINGS</w:t>
      </w:r>
    </w:p>
    <w:p w:rsidR="00A53A51" w:rsidRDefault="00A53A51" w:rsidP="008B7FC8">
      <w:pPr>
        <w:spacing w:line="240" w:lineRule="atLeast"/>
        <w:jc w:val="center"/>
        <w:rPr>
          <w:rFonts w:ascii="Verdana" w:hAnsi="Verdana"/>
          <w:b/>
          <w:color w:val="008080"/>
          <w:sz w:val="24"/>
          <w:szCs w:val="24"/>
        </w:rPr>
      </w:pPr>
    </w:p>
    <w:p w:rsidR="0095794C" w:rsidRDefault="008B7FC8" w:rsidP="008B7FC8">
      <w:pPr>
        <w:spacing w:line="240" w:lineRule="atLeast"/>
        <w:jc w:val="center"/>
        <w:rPr>
          <w:rFonts w:ascii="Verdana" w:hAnsi="Verdana"/>
          <w:b/>
          <w:i/>
          <w:color w:val="008080"/>
          <w:sz w:val="24"/>
          <w:szCs w:val="24"/>
        </w:rPr>
      </w:pPr>
      <w:r>
        <w:rPr>
          <w:rFonts w:ascii="Verdana" w:hAnsi="Verdana"/>
          <w:b/>
          <w:i/>
          <w:color w:val="008080"/>
          <w:sz w:val="24"/>
          <w:szCs w:val="24"/>
        </w:rPr>
        <w:t>BINDING GENERAL RULINGS</w:t>
      </w:r>
    </w:p>
    <w:p w:rsidR="00794BAC" w:rsidRPr="00655261" w:rsidRDefault="00794BAC" w:rsidP="00827676">
      <w:pPr>
        <w:overflowPunct/>
        <w:autoSpaceDE/>
        <w:autoSpaceDN/>
        <w:adjustRightInd/>
        <w:textAlignment w:val="auto"/>
        <w:rPr>
          <w:rFonts w:ascii="Verdana" w:hAnsi="Verdana"/>
          <w:sz w:val="18"/>
          <w:szCs w:val="18"/>
          <w:lang w:val="en-ZA" w:eastAsia="en-ZA"/>
        </w:rPr>
      </w:pPr>
    </w:p>
    <w:p w:rsidR="00794BAC" w:rsidRPr="00655261" w:rsidRDefault="00A53A51" w:rsidP="00655261">
      <w:pPr>
        <w:overflowPunct/>
        <w:autoSpaceDE/>
        <w:autoSpaceDN/>
        <w:adjustRightInd/>
        <w:jc w:val="center"/>
        <w:textAlignment w:val="auto"/>
        <w:rPr>
          <w:rFonts w:ascii="Verdana" w:hAnsi="Verdana"/>
          <w:b/>
          <w:i/>
          <w:color w:val="008080"/>
          <w:sz w:val="24"/>
          <w:szCs w:val="24"/>
        </w:rPr>
      </w:pPr>
      <w:r w:rsidRPr="00655261">
        <w:rPr>
          <w:rFonts w:ascii="Verdana" w:hAnsi="Verdana"/>
          <w:b/>
          <w:i/>
          <w:color w:val="008080"/>
          <w:sz w:val="24"/>
          <w:szCs w:val="24"/>
        </w:rPr>
        <w:t>Draft rulings</w:t>
      </w:r>
    </w:p>
    <w:p w:rsidR="00A53A51" w:rsidRDefault="00A53A51" w:rsidP="00655261">
      <w:pPr>
        <w:overflowPunct/>
        <w:autoSpaceDE/>
        <w:autoSpaceDN/>
        <w:adjustRightInd/>
        <w:jc w:val="center"/>
        <w:textAlignment w:val="auto"/>
        <w:rPr>
          <w:rFonts w:ascii="Verdana" w:hAnsi="Verdana"/>
          <w:sz w:val="18"/>
          <w:szCs w:val="18"/>
          <w:lang w:val="en-ZA" w:eastAsia="en-ZA"/>
        </w:rPr>
      </w:pPr>
    </w:p>
    <w:p w:rsidR="00A53A51" w:rsidRPr="00546921" w:rsidRDefault="00A53A51" w:rsidP="00695D83">
      <w:pPr>
        <w:spacing w:line="240" w:lineRule="atLeast"/>
        <w:jc w:val="both"/>
        <w:rPr>
          <w:rFonts w:ascii="Verdana" w:hAnsi="Verdana"/>
          <w:sz w:val="18"/>
          <w:szCs w:val="18"/>
        </w:rPr>
      </w:pPr>
      <w:r w:rsidRPr="00546921">
        <w:rPr>
          <w:rFonts w:ascii="Verdana" w:hAnsi="Verdana"/>
          <w:b/>
          <w:sz w:val="18"/>
          <w:szCs w:val="18"/>
        </w:rPr>
        <w:t>SECOND DRAFT BINDING GENERAL RULING (VAT</w:t>
      </w:r>
      <w:r w:rsidRPr="00546921">
        <w:rPr>
          <w:rFonts w:ascii="Verdana" w:hAnsi="Verdana"/>
          <w:sz w:val="18"/>
          <w:szCs w:val="18"/>
        </w:rPr>
        <w:t xml:space="preserve">) </w:t>
      </w:r>
    </w:p>
    <w:p w:rsidR="00A53A51" w:rsidRPr="00546921" w:rsidRDefault="00A53A51" w:rsidP="00695D83">
      <w:pPr>
        <w:spacing w:line="240" w:lineRule="atLeast"/>
        <w:jc w:val="both"/>
        <w:rPr>
          <w:rFonts w:ascii="Verdana" w:hAnsi="Verdana"/>
          <w:sz w:val="18"/>
          <w:szCs w:val="18"/>
        </w:rPr>
      </w:pPr>
      <w:r w:rsidRPr="00546921">
        <w:rPr>
          <w:rFonts w:ascii="Verdana" w:hAnsi="Verdana"/>
          <w:b/>
          <w:sz w:val="18"/>
          <w:szCs w:val="18"/>
        </w:rPr>
        <w:t>Effective date:</w:t>
      </w:r>
      <w:r w:rsidRPr="00546921">
        <w:rPr>
          <w:rFonts w:ascii="Verdana" w:hAnsi="Verdana"/>
          <w:sz w:val="18"/>
          <w:szCs w:val="18"/>
        </w:rPr>
        <w:t xml:space="preserve"> This draf</w:t>
      </w:r>
      <w:r w:rsidR="00695D83" w:rsidRPr="00546921">
        <w:rPr>
          <w:rFonts w:ascii="Verdana" w:hAnsi="Verdana"/>
          <w:sz w:val="18"/>
          <w:szCs w:val="18"/>
        </w:rPr>
        <w:t>t was released on 12 March 2015</w:t>
      </w:r>
    </w:p>
    <w:p w:rsidR="00A53A51" w:rsidRPr="00546921" w:rsidRDefault="00A53A51" w:rsidP="00695D83">
      <w:pPr>
        <w:spacing w:line="240" w:lineRule="atLeast"/>
        <w:jc w:val="both"/>
        <w:rPr>
          <w:rFonts w:ascii="Verdana" w:hAnsi="Verdana"/>
          <w:sz w:val="18"/>
          <w:szCs w:val="18"/>
        </w:rPr>
      </w:pPr>
      <w:r w:rsidRPr="00546921">
        <w:rPr>
          <w:rFonts w:ascii="Verdana" w:hAnsi="Verdana"/>
          <w:b/>
          <w:sz w:val="18"/>
          <w:szCs w:val="18"/>
        </w:rPr>
        <w:t>Affected legislation:</w:t>
      </w:r>
      <w:r w:rsidRPr="00546921">
        <w:rPr>
          <w:rFonts w:ascii="Verdana" w:hAnsi="Verdana"/>
          <w:sz w:val="18"/>
          <w:szCs w:val="18"/>
        </w:rPr>
        <w:t xml:space="preserve"> Value-Added Tax Act 89 of 1991 </w:t>
      </w:r>
    </w:p>
    <w:p w:rsidR="00A53A51" w:rsidRPr="00546921" w:rsidRDefault="00A53A51" w:rsidP="00695D83">
      <w:pPr>
        <w:spacing w:line="240" w:lineRule="atLeast"/>
        <w:jc w:val="both"/>
        <w:rPr>
          <w:rFonts w:ascii="Verdana" w:hAnsi="Verdana"/>
          <w:sz w:val="18"/>
          <w:szCs w:val="18"/>
        </w:rPr>
      </w:pPr>
      <w:r w:rsidRPr="00546921">
        <w:rPr>
          <w:rFonts w:ascii="Verdana" w:hAnsi="Verdana"/>
          <w:b/>
          <w:sz w:val="18"/>
          <w:szCs w:val="18"/>
        </w:rPr>
        <w:t xml:space="preserve">Provisions: </w:t>
      </w:r>
      <w:r w:rsidR="00695D83" w:rsidRPr="00546921">
        <w:rPr>
          <w:rFonts w:ascii="Verdana" w:hAnsi="Verdana"/>
          <w:sz w:val="18"/>
          <w:szCs w:val="18"/>
        </w:rPr>
        <w:t>S</w:t>
      </w:r>
      <w:r w:rsidRPr="00546921">
        <w:rPr>
          <w:rFonts w:ascii="Verdana" w:hAnsi="Verdana"/>
          <w:sz w:val="18"/>
          <w:szCs w:val="18"/>
        </w:rPr>
        <w:t>ections 11(1</w:t>
      </w:r>
      <w:proofErr w:type="gramStart"/>
      <w:r w:rsidRPr="00546921">
        <w:rPr>
          <w:rFonts w:ascii="Verdana" w:hAnsi="Verdana"/>
          <w:sz w:val="18"/>
          <w:szCs w:val="18"/>
        </w:rPr>
        <w:t>)</w:t>
      </w:r>
      <w:r w:rsidRPr="00546921">
        <w:rPr>
          <w:rFonts w:ascii="Verdana" w:hAnsi="Verdana"/>
          <w:i/>
          <w:sz w:val="18"/>
          <w:szCs w:val="18"/>
        </w:rPr>
        <w:t>(</w:t>
      </w:r>
      <w:proofErr w:type="gramEnd"/>
      <w:r w:rsidRPr="00546921">
        <w:rPr>
          <w:rFonts w:ascii="Verdana" w:hAnsi="Verdana"/>
          <w:i/>
          <w:sz w:val="18"/>
          <w:szCs w:val="18"/>
        </w:rPr>
        <w:t>j)</w:t>
      </w:r>
      <w:r w:rsidRPr="00546921">
        <w:rPr>
          <w:rFonts w:ascii="Verdana" w:hAnsi="Verdana"/>
          <w:sz w:val="18"/>
          <w:szCs w:val="18"/>
        </w:rPr>
        <w:t xml:space="preserve"> and 13(3), para 7</w:t>
      </w:r>
      <w:r w:rsidRPr="00546921">
        <w:rPr>
          <w:rFonts w:ascii="Verdana" w:hAnsi="Verdana"/>
          <w:i/>
          <w:sz w:val="18"/>
          <w:szCs w:val="18"/>
        </w:rPr>
        <w:t>(a)</w:t>
      </w:r>
      <w:r w:rsidRPr="00546921">
        <w:rPr>
          <w:rFonts w:ascii="Verdana" w:hAnsi="Verdana"/>
          <w:sz w:val="18"/>
          <w:szCs w:val="18"/>
        </w:rPr>
        <w:t xml:space="preserve"> of Schedule 1 and items 12 and 13 in part B of Schedule 2 </w:t>
      </w:r>
    </w:p>
    <w:p w:rsidR="00695D83" w:rsidRPr="00546921" w:rsidRDefault="00695D83" w:rsidP="00695D83">
      <w:pPr>
        <w:overflowPunct/>
        <w:autoSpaceDE/>
        <w:autoSpaceDN/>
        <w:adjustRightInd/>
        <w:jc w:val="both"/>
        <w:textAlignment w:val="auto"/>
        <w:rPr>
          <w:rFonts w:ascii="Verdana" w:hAnsi="Verdana"/>
          <w:b/>
          <w:sz w:val="18"/>
          <w:szCs w:val="18"/>
        </w:rPr>
      </w:pPr>
    </w:p>
    <w:p w:rsidR="00A62511" w:rsidRPr="00695D83" w:rsidRDefault="00A53A51" w:rsidP="00695D83">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Executive summary: </w:t>
      </w:r>
      <w:r w:rsidRPr="00546921">
        <w:rPr>
          <w:rFonts w:ascii="Verdana" w:hAnsi="Verdana"/>
          <w:sz w:val="18"/>
          <w:szCs w:val="18"/>
        </w:rPr>
        <w:t xml:space="preserve">This ruling deals with the VAT treatment of the supply and importation of fruit and vegetables and sets out the </w:t>
      </w:r>
      <w:r w:rsidR="00FD67F4" w:rsidRPr="00546921">
        <w:rPr>
          <w:rFonts w:ascii="Verdana" w:hAnsi="Verdana"/>
          <w:sz w:val="18"/>
          <w:szCs w:val="18"/>
        </w:rPr>
        <w:t>applicable rate of VAT. This ruling</w:t>
      </w:r>
      <w:r w:rsidRPr="00546921">
        <w:rPr>
          <w:rFonts w:ascii="Verdana" w:hAnsi="Verdana"/>
          <w:sz w:val="18"/>
          <w:szCs w:val="18"/>
        </w:rPr>
        <w:t xml:space="preserve"> was released as a draft in 2014 and SARS received requests to delay finalisation in order to allow for additional submissions. SARS agreed to issue an updated draft for a second round of comment</w:t>
      </w:r>
      <w:r w:rsidR="00FD67F4" w:rsidRPr="00546921">
        <w:rPr>
          <w:rFonts w:ascii="Verdana" w:hAnsi="Verdana"/>
          <w:sz w:val="18"/>
          <w:szCs w:val="18"/>
        </w:rPr>
        <w:t>s</w:t>
      </w:r>
      <w:r w:rsidRPr="00546921">
        <w:rPr>
          <w:rFonts w:ascii="Verdana" w:hAnsi="Verdana"/>
          <w:sz w:val="18"/>
          <w:szCs w:val="18"/>
        </w:rPr>
        <w:t>. Additional submissions had to be made on or before 31 May 2015. This ruling will withdraw</w:t>
      </w:r>
      <w:r w:rsidRPr="00695D83">
        <w:rPr>
          <w:rFonts w:ascii="Verdana" w:hAnsi="Verdana"/>
          <w:sz w:val="18"/>
          <w:szCs w:val="18"/>
        </w:rPr>
        <w:t xml:space="preserve"> BGR 18 (VAT).</w:t>
      </w:r>
    </w:p>
    <w:p w:rsidR="00A53A51" w:rsidRPr="00695D83" w:rsidRDefault="00A53A51" w:rsidP="00695D83">
      <w:pPr>
        <w:overflowPunct/>
        <w:autoSpaceDE/>
        <w:autoSpaceDN/>
        <w:adjustRightInd/>
        <w:jc w:val="both"/>
        <w:textAlignment w:val="auto"/>
        <w:rPr>
          <w:rFonts w:ascii="Verdana" w:hAnsi="Verdana"/>
          <w:sz w:val="18"/>
          <w:szCs w:val="18"/>
        </w:rPr>
      </w:pPr>
    </w:p>
    <w:p w:rsidR="00A53A51" w:rsidRPr="00655261" w:rsidRDefault="00A53A51" w:rsidP="00655261">
      <w:pPr>
        <w:overflowPunct/>
        <w:autoSpaceDE/>
        <w:autoSpaceDN/>
        <w:adjustRightInd/>
        <w:jc w:val="center"/>
        <w:textAlignment w:val="auto"/>
        <w:rPr>
          <w:rFonts w:ascii="Verdana" w:hAnsi="Verdana"/>
          <w:b/>
          <w:i/>
          <w:color w:val="008080"/>
          <w:sz w:val="24"/>
          <w:szCs w:val="24"/>
        </w:rPr>
      </w:pPr>
      <w:r w:rsidRPr="00655261">
        <w:rPr>
          <w:rFonts w:ascii="Verdana" w:hAnsi="Verdana"/>
          <w:b/>
          <w:i/>
          <w:color w:val="008080"/>
          <w:sz w:val="24"/>
          <w:szCs w:val="24"/>
        </w:rPr>
        <w:t>Rulings</w:t>
      </w:r>
    </w:p>
    <w:p w:rsidR="00A53A51" w:rsidRDefault="00A53A51" w:rsidP="00827676">
      <w:pPr>
        <w:overflowPunct/>
        <w:autoSpaceDE/>
        <w:autoSpaceDN/>
        <w:adjustRightInd/>
        <w:textAlignment w:val="auto"/>
      </w:pPr>
    </w:p>
    <w:p w:rsidR="00A62511" w:rsidRPr="00546921" w:rsidRDefault="00A62511" w:rsidP="00144889">
      <w:pPr>
        <w:overflowPunct/>
        <w:autoSpaceDE/>
        <w:autoSpaceDN/>
        <w:adjustRightInd/>
        <w:jc w:val="both"/>
        <w:textAlignment w:val="auto"/>
        <w:rPr>
          <w:rFonts w:ascii="Verdana" w:hAnsi="Verdana"/>
          <w:b/>
          <w:sz w:val="18"/>
          <w:szCs w:val="18"/>
        </w:rPr>
      </w:pPr>
      <w:r w:rsidRPr="00546921">
        <w:rPr>
          <w:rFonts w:ascii="Verdana" w:hAnsi="Verdana"/>
          <w:b/>
          <w:sz w:val="18"/>
          <w:szCs w:val="18"/>
        </w:rPr>
        <w:t>BINDING GENERAL RULING (VAT) 4</w:t>
      </w:r>
      <w:r w:rsidR="001B4F2D" w:rsidRPr="00546921">
        <w:rPr>
          <w:rFonts w:ascii="Verdana" w:hAnsi="Verdana"/>
          <w:b/>
          <w:sz w:val="18"/>
          <w:szCs w:val="18"/>
        </w:rPr>
        <w:t xml:space="preserve"> (issue 3)</w:t>
      </w:r>
      <w:r w:rsidR="00AB1921" w:rsidRPr="00546921">
        <w:rPr>
          <w:rFonts w:ascii="Verdana" w:hAnsi="Verdana"/>
          <w:b/>
          <w:sz w:val="18"/>
          <w:szCs w:val="18"/>
        </w:rPr>
        <w:t xml:space="preserve"> </w:t>
      </w:r>
    </w:p>
    <w:p w:rsidR="00A62511" w:rsidRPr="00144889" w:rsidRDefault="00A62511" w:rsidP="00144889">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Pr="00546921">
        <w:rPr>
          <w:rFonts w:ascii="Verdana" w:hAnsi="Verdana"/>
          <w:sz w:val="18"/>
          <w:szCs w:val="18"/>
        </w:rPr>
        <w:t>: 27 March 2015</w:t>
      </w:r>
      <w:r w:rsidRPr="00144889">
        <w:rPr>
          <w:rFonts w:ascii="Verdana" w:hAnsi="Verdana"/>
          <w:sz w:val="18"/>
          <w:szCs w:val="18"/>
        </w:rPr>
        <w:t xml:space="preserve"> </w:t>
      </w:r>
    </w:p>
    <w:p w:rsidR="00A62511" w:rsidRPr="00144889" w:rsidRDefault="00A62511" w:rsidP="00144889">
      <w:pPr>
        <w:overflowPunct/>
        <w:autoSpaceDE/>
        <w:autoSpaceDN/>
        <w:adjustRightInd/>
        <w:jc w:val="both"/>
        <w:textAlignment w:val="auto"/>
        <w:rPr>
          <w:rFonts w:ascii="Verdana" w:hAnsi="Verdana"/>
          <w:sz w:val="18"/>
          <w:szCs w:val="18"/>
        </w:rPr>
      </w:pPr>
      <w:r w:rsidRPr="00144889">
        <w:rPr>
          <w:rFonts w:ascii="Verdana" w:hAnsi="Verdana"/>
          <w:b/>
          <w:sz w:val="18"/>
          <w:szCs w:val="18"/>
        </w:rPr>
        <w:t>Affected legislation</w:t>
      </w:r>
      <w:r w:rsidRPr="00144889">
        <w:rPr>
          <w:rFonts w:ascii="Verdana" w:hAnsi="Verdana"/>
          <w:sz w:val="18"/>
          <w:szCs w:val="18"/>
        </w:rPr>
        <w:t xml:space="preserve">: Value-Added Tax Act 89 of 1991 </w:t>
      </w:r>
    </w:p>
    <w:p w:rsidR="00A62511" w:rsidRPr="00144889" w:rsidRDefault="00A62511" w:rsidP="00144889">
      <w:pPr>
        <w:overflowPunct/>
        <w:autoSpaceDE/>
        <w:autoSpaceDN/>
        <w:adjustRightInd/>
        <w:jc w:val="both"/>
        <w:textAlignment w:val="auto"/>
        <w:rPr>
          <w:rFonts w:ascii="Verdana" w:hAnsi="Verdana"/>
          <w:sz w:val="18"/>
          <w:szCs w:val="18"/>
        </w:rPr>
      </w:pPr>
      <w:r w:rsidRPr="00144889">
        <w:rPr>
          <w:rFonts w:ascii="Verdana" w:hAnsi="Verdana"/>
          <w:b/>
          <w:sz w:val="18"/>
          <w:szCs w:val="18"/>
        </w:rPr>
        <w:t>Provisions</w:t>
      </w:r>
      <w:r w:rsidRPr="00144889">
        <w:rPr>
          <w:rFonts w:ascii="Verdana" w:hAnsi="Verdana"/>
          <w:sz w:val="18"/>
          <w:szCs w:val="18"/>
        </w:rPr>
        <w:t xml:space="preserve">: </w:t>
      </w:r>
      <w:r w:rsidR="00144889">
        <w:rPr>
          <w:rFonts w:ascii="Verdana" w:hAnsi="Verdana"/>
          <w:sz w:val="18"/>
          <w:szCs w:val="18"/>
        </w:rPr>
        <w:t>S</w:t>
      </w:r>
      <w:r w:rsidRPr="00144889">
        <w:rPr>
          <w:rFonts w:ascii="Verdana" w:hAnsi="Verdana"/>
          <w:sz w:val="18"/>
          <w:szCs w:val="18"/>
        </w:rPr>
        <w:t xml:space="preserve">ection </w:t>
      </w:r>
      <w:r w:rsidR="00933199" w:rsidRPr="00144889">
        <w:rPr>
          <w:rFonts w:ascii="Verdana" w:hAnsi="Verdana"/>
          <w:sz w:val="18"/>
          <w:szCs w:val="18"/>
        </w:rPr>
        <w:t xml:space="preserve">1(1); </w:t>
      </w:r>
      <w:r w:rsidRPr="00144889">
        <w:rPr>
          <w:rFonts w:ascii="Verdana" w:hAnsi="Verdana"/>
          <w:sz w:val="18"/>
          <w:szCs w:val="18"/>
        </w:rPr>
        <w:t xml:space="preserve">definition of </w:t>
      </w:r>
      <w:r w:rsidR="00144889">
        <w:rPr>
          <w:rFonts w:ascii="Verdana" w:hAnsi="Verdana"/>
          <w:sz w:val="18"/>
          <w:szCs w:val="18"/>
        </w:rPr>
        <w:t>‘</w:t>
      </w:r>
      <w:r w:rsidRPr="00144889">
        <w:rPr>
          <w:rFonts w:ascii="Verdana" w:hAnsi="Verdana"/>
          <w:sz w:val="18"/>
          <w:szCs w:val="18"/>
        </w:rPr>
        <w:t>input tax</w:t>
      </w:r>
      <w:r w:rsidR="00144889">
        <w:rPr>
          <w:rFonts w:ascii="Verdana" w:hAnsi="Verdana"/>
          <w:sz w:val="18"/>
          <w:szCs w:val="18"/>
        </w:rPr>
        <w:t>’</w:t>
      </w:r>
      <w:r w:rsidRPr="00144889">
        <w:rPr>
          <w:rFonts w:ascii="Verdana" w:hAnsi="Verdana"/>
          <w:sz w:val="18"/>
          <w:szCs w:val="18"/>
        </w:rPr>
        <w:t xml:space="preserve"> </w:t>
      </w:r>
    </w:p>
    <w:p w:rsidR="00144889" w:rsidRDefault="00144889" w:rsidP="00144889">
      <w:pPr>
        <w:overflowPunct/>
        <w:autoSpaceDE/>
        <w:autoSpaceDN/>
        <w:adjustRightInd/>
        <w:jc w:val="both"/>
        <w:textAlignment w:val="auto"/>
        <w:rPr>
          <w:rFonts w:ascii="Verdana" w:hAnsi="Verdana"/>
          <w:b/>
          <w:sz w:val="18"/>
          <w:szCs w:val="18"/>
        </w:rPr>
      </w:pPr>
    </w:p>
    <w:p w:rsidR="00A62511" w:rsidRPr="00144889" w:rsidRDefault="00A62511" w:rsidP="00144889">
      <w:pPr>
        <w:overflowPunct/>
        <w:autoSpaceDE/>
        <w:autoSpaceDN/>
        <w:adjustRightInd/>
        <w:jc w:val="both"/>
        <w:textAlignment w:val="auto"/>
        <w:rPr>
          <w:rFonts w:ascii="Verdana" w:hAnsi="Verdana"/>
          <w:sz w:val="18"/>
          <w:szCs w:val="18"/>
          <w:lang w:val="en-ZA" w:eastAsia="en-ZA"/>
        </w:rPr>
      </w:pPr>
      <w:r w:rsidRPr="00144889">
        <w:rPr>
          <w:rFonts w:ascii="Verdana" w:hAnsi="Verdana"/>
          <w:b/>
          <w:sz w:val="18"/>
          <w:szCs w:val="18"/>
        </w:rPr>
        <w:t>Executive summary</w:t>
      </w:r>
      <w:r w:rsidRPr="00144889">
        <w:rPr>
          <w:rFonts w:ascii="Verdana" w:hAnsi="Verdana"/>
          <w:sz w:val="18"/>
          <w:szCs w:val="18"/>
        </w:rPr>
        <w:t xml:space="preserve">: </w:t>
      </w:r>
      <w:proofErr w:type="gramStart"/>
      <w:r w:rsidRPr="00144889">
        <w:rPr>
          <w:rFonts w:ascii="Verdana" w:hAnsi="Verdana"/>
          <w:sz w:val="18"/>
          <w:szCs w:val="18"/>
        </w:rPr>
        <w:t>This ruling deals</w:t>
      </w:r>
      <w:proofErr w:type="gramEnd"/>
      <w:r w:rsidRPr="00144889">
        <w:rPr>
          <w:rFonts w:ascii="Verdana" w:hAnsi="Verdana"/>
          <w:sz w:val="18"/>
          <w:szCs w:val="18"/>
        </w:rPr>
        <w:t xml:space="preserve"> with the apportionment methodology, as envisaged in s 17(1), that a municipality must use to determine the amount of VAT which may be deducted as input tax on any goods or services acquired for a mixed purpose. This ruling replaces and withdraws BGR 4 (Issue 2) dated 25 March 2013.</w:t>
      </w:r>
    </w:p>
    <w:p w:rsidR="00A62511" w:rsidRPr="00144889" w:rsidRDefault="00A62511" w:rsidP="00144889">
      <w:pPr>
        <w:overflowPunct/>
        <w:autoSpaceDE/>
        <w:autoSpaceDN/>
        <w:adjustRightInd/>
        <w:jc w:val="both"/>
        <w:textAlignment w:val="auto"/>
        <w:rPr>
          <w:rFonts w:ascii="Verdana" w:hAnsi="Verdana"/>
          <w:sz w:val="18"/>
          <w:szCs w:val="18"/>
          <w:lang w:val="en-ZA" w:eastAsia="en-ZA"/>
        </w:rPr>
      </w:pPr>
    </w:p>
    <w:p w:rsidR="001857C4" w:rsidRPr="009D6E0B" w:rsidRDefault="001857C4" w:rsidP="00827676">
      <w:pPr>
        <w:overflowPunct/>
        <w:autoSpaceDE/>
        <w:autoSpaceDN/>
        <w:adjustRightInd/>
        <w:textAlignment w:val="auto"/>
        <w:rPr>
          <w:rFonts w:ascii="Verdana" w:hAnsi="Verdana"/>
          <w:sz w:val="18"/>
          <w:szCs w:val="18"/>
          <w:lang w:val="en-ZA" w:eastAsia="en-ZA"/>
        </w:rPr>
      </w:pPr>
    </w:p>
    <w:p w:rsidR="007F6C9B" w:rsidRPr="00546921" w:rsidRDefault="00E614F9" w:rsidP="000709F1">
      <w:pPr>
        <w:overflowPunct/>
        <w:autoSpaceDE/>
        <w:autoSpaceDN/>
        <w:adjustRightInd/>
        <w:jc w:val="both"/>
        <w:textAlignment w:val="auto"/>
        <w:rPr>
          <w:rFonts w:ascii="Verdana" w:hAnsi="Verdana"/>
          <w:b/>
          <w:sz w:val="18"/>
          <w:szCs w:val="18"/>
        </w:rPr>
      </w:pPr>
      <w:r w:rsidRPr="00546921">
        <w:rPr>
          <w:rFonts w:ascii="Verdana" w:hAnsi="Verdana"/>
          <w:b/>
          <w:sz w:val="18"/>
          <w:szCs w:val="18"/>
        </w:rPr>
        <w:t>B</w:t>
      </w:r>
      <w:r w:rsidR="007F6C9B" w:rsidRPr="00546921">
        <w:rPr>
          <w:rFonts w:ascii="Verdana" w:hAnsi="Verdana"/>
          <w:b/>
          <w:sz w:val="18"/>
          <w:szCs w:val="18"/>
        </w:rPr>
        <w:t>INDING GENERAL RULING (VAT)</w:t>
      </w:r>
      <w:r w:rsidRPr="00546921">
        <w:rPr>
          <w:rFonts w:ascii="Verdana" w:hAnsi="Verdana"/>
          <w:b/>
          <w:sz w:val="18"/>
          <w:szCs w:val="18"/>
        </w:rPr>
        <w:t xml:space="preserve"> 16 </w:t>
      </w:r>
      <w:r w:rsidR="007F6C9B" w:rsidRPr="00546921">
        <w:rPr>
          <w:rFonts w:ascii="Verdana" w:hAnsi="Verdana"/>
          <w:b/>
          <w:sz w:val="18"/>
          <w:szCs w:val="18"/>
        </w:rPr>
        <w:t>(</w:t>
      </w:r>
      <w:r w:rsidRPr="00546921">
        <w:rPr>
          <w:rFonts w:ascii="Verdana" w:hAnsi="Verdana"/>
          <w:b/>
          <w:sz w:val="18"/>
          <w:szCs w:val="18"/>
        </w:rPr>
        <w:t>issue 2</w:t>
      </w:r>
      <w:r w:rsidR="007F6C9B" w:rsidRPr="00546921">
        <w:rPr>
          <w:rFonts w:ascii="Verdana" w:hAnsi="Verdana"/>
          <w:b/>
          <w:sz w:val="18"/>
          <w:szCs w:val="18"/>
        </w:rPr>
        <w:t>)</w:t>
      </w:r>
      <w:r w:rsidR="00AB1921" w:rsidRPr="00546921">
        <w:rPr>
          <w:rFonts w:ascii="Verdana" w:hAnsi="Verdana"/>
          <w:b/>
          <w:sz w:val="18"/>
          <w:szCs w:val="18"/>
        </w:rPr>
        <w:t xml:space="preserve"> </w:t>
      </w:r>
    </w:p>
    <w:p w:rsidR="007F6C9B" w:rsidRPr="00546921" w:rsidRDefault="007F6C9B" w:rsidP="00655261">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Pr="00546921">
        <w:rPr>
          <w:rFonts w:ascii="Verdana" w:hAnsi="Verdana"/>
          <w:sz w:val="18"/>
          <w:szCs w:val="18"/>
        </w:rPr>
        <w:t>30 March 2015</w:t>
      </w:r>
    </w:p>
    <w:p w:rsidR="007F6C9B" w:rsidRPr="00546921" w:rsidRDefault="007F6C9B" w:rsidP="00655261">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 xml:space="preserve">Value-Added Tax Act 89 of 1991 </w:t>
      </w:r>
    </w:p>
    <w:p w:rsidR="007F6C9B" w:rsidRPr="00546921" w:rsidRDefault="007F6C9B" w:rsidP="00655261">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9D6E0B" w:rsidRPr="00546921">
        <w:rPr>
          <w:rFonts w:ascii="Verdana" w:hAnsi="Verdana"/>
          <w:sz w:val="18"/>
          <w:szCs w:val="18"/>
        </w:rPr>
        <w:t>S</w:t>
      </w:r>
      <w:r w:rsidRPr="00546921">
        <w:rPr>
          <w:rFonts w:ascii="Verdana" w:hAnsi="Verdana"/>
          <w:sz w:val="18"/>
          <w:szCs w:val="18"/>
        </w:rPr>
        <w:t>ection</w:t>
      </w:r>
      <w:r w:rsidR="00200DB2" w:rsidRPr="00546921">
        <w:rPr>
          <w:rFonts w:ascii="Verdana" w:hAnsi="Verdana"/>
          <w:sz w:val="18"/>
          <w:szCs w:val="18"/>
        </w:rPr>
        <w:t xml:space="preserve"> </w:t>
      </w:r>
      <w:r w:rsidRPr="00546921">
        <w:rPr>
          <w:rFonts w:ascii="Verdana" w:hAnsi="Verdana"/>
          <w:sz w:val="18"/>
          <w:szCs w:val="18"/>
        </w:rPr>
        <w:t>17(1)</w:t>
      </w:r>
    </w:p>
    <w:p w:rsidR="009D6E0B" w:rsidRPr="00546921" w:rsidRDefault="009D6E0B" w:rsidP="00655261">
      <w:pPr>
        <w:overflowPunct/>
        <w:autoSpaceDE/>
        <w:autoSpaceDN/>
        <w:adjustRightInd/>
        <w:jc w:val="both"/>
        <w:textAlignment w:val="auto"/>
        <w:rPr>
          <w:rFonts w:ascii="Verdana" w:hAnsi="Verdana"/>
          <w:b/>
          <w:sz w:val="18"/>
          <w:szCs w:val="18"/>
        </w:rPr>
      </w:pPr>
    </w:p>
    <w:p w:rsidR="007F6C9B" w:rsidRPr="00546921" w:rsidRDefault="007F6C9B" w:rsidP="00655261">
      <w:pPr>
        <w:overflowPunct/>
        <w:autoSpaceDE/>
        <w:autoSpaceDN/>
        <w:adjustRightInd/>
        <w:jc w:val="both"/>
        <w:textAlignment w:val="auto"/>
        <w:rPr>
          <w:rFonts w:ascii="Verdana" w:hAnsi="Verdana"/>
          <w:b/>
          <w:sz w:val="18"/>
          <w:szCs w:val="18"/>
        </w:rPr>
      </w:pPr>
      <w:r w:rsidRPr="00546921">
        <w:rPr>
          <w:rFonts w:ascii="Verdana" w:hAnsi="Verdana"/>
          <w:b/>
          <w:sz w:val="18"/>
          <w:szCs w:val="18"/>
        </w:rPr>
        <w:t>Executive summary:</w:t>
      </w:r>
      <w:r w:rsidRPr="00546921">
        <w:rPr>
          <w:rFonts w:ascii="Verdana" w:hAnsi="Verdana"/>
          <w:sz w:val="18"/>
          <w:szCs w:val="18"/>
        </w:rPr>
        <w:t xml:space="preserve"> Thus ruling prescribes the method to be used in determining the ratio contemplated in s 17(1), which provides for the extent to which a vendor may deduct tax payable on goods or services acquired partly for the purpose of making taxable supplies and partly for some other purpose</w:t>
      </w:r>
      <w:r w:rsidR="00FD67F4" w:rsidRPr="00546921">
        <w:rPr>
          <w:rFonts w:ascii="Verdana" w:hAnsi="Verdana"/>
          <w:sz w:val="18"/>
          <w:szCs w:val="18"/>
        </w:rPr>
        <w:t xml:space="preserve">, </w:t>
      </w:r>
      <w:r w:rsidRPr="00546921">
        <w:rPr>
          <w:rFonts w:ascii="Verdana" w:hAnsi="Verdana"/>
          <w:sz w:val="18"/>
          <w:szCs w:val="18"/>
        </w:rPr>
        <w:t>for example exempt supplies or private use</w:t>
      </w:r>
      <w:r w:rsidR="00FD67F4" w:rsidRPr="00546921">
        <w:rPr>
          <w:rFonts w:ascii="Verdana" w:hAnsi="Verdana"/>
          <w:sz w:val="18"/>
          <w:szCs w:val="18"/>
        </w:rPr>
        <w:t>.</w:t>
      </w:r>
    </w:p>
    <w:p w:rsidR="007F6C9B" w:rsidRPr="00546921" w:rsidRDefault="007F6C9B" w:rsidP="000709F1">
      <w:pPr>
        <w:overflowPunct/>
        <w:autoSpaceDE/>
        <w:autoSpaceDN/>
        <w:adjustRightInd/>
        <w:jc w:val="both"/>
        <w:textAlignment w:val="auto"/>
        <w:rPr>
          <w:rFonts w:ascii="Verdana" w:hAnsi="Verdana"/>
          <w:sz w:val="18"/>
          <w:szCs w:val="18"/>
        </w:rPr>
      </w:pPr>
    </w:p>
    <w:p w:rsidR="007F6C9B" w:rsidRPr="00546921" w:rsidRDefault="007F6C9B" w:rsidP="000709F1">
      <w:pPr>
        <w:overflowPunct/>
        <w:autoSpaceDE/>
        <w:autoSpaceDN/>
        <w:adjustRightInd/>
        <w:jc w:val="both"/>
        <w:textAlignment w:val="auto"/>
        <w:rPr>
          <w:rFonts w:ascii="Verdana" w:hAnsi="Verdana"/>
          <w:b/>
          <w:sz w:val="18"/>
          <w:szCs w:val="18"/>
        </w:rPr>
      </w:pPr>
    </w:p>
    <w:p w:rsidR="00AE0F7B" w:rsidRPr="00546921" w:rsidRDefault="00AE0F7B" w:rsidP="000709F1">
      <w:pPr>
        <w:overflowPunct/>
        <w:autoSpaceDE/>
        <w:autoSpaceDN/>
        <w:adjustRightInd/>
        <w:jc w:val="both"/>
        <w:textAlignment w:val="auto"/>
        <w:rPr>
          <w:rFonts w:ascii="Verdana" w:hAnsi="Verdana"/>
          <w:b/>
          <w:sz w:val="18"/>
          <w:szCs w:val="18"/>
        </w:rPr>
      </w:pPr>
      <w:r w:rsidRPr="00546921">
        <w:rPr>
          <w:rFonts w:ascii="Verdana" w:hAnsi="Verdana"/>
          <w:b/>
          <w:sz w:val="18"/>
          <w:szCs w:val="18"/>
        </w:rPr>
        <w:t>B</w:t>
      </w:r>
      <w:r w:rsidR="007F6C9B" w:rsidRPr="00546921">
        <w:rPr>
          <w:rFonts w:ascii="Verdana" w:hAnsi="Verdana"/>
          <w:b/>
          <w:sz w:val="18"/>
          <w:szCs w:val="18"/>
        </w:rPr>
        <w:t>INDING GENERAL RULING</w:t>
      </w:r>
      <w:r w:rsidRPr="00546921">
        <w:rPr>
          <w:rFonts w:ascii="Verdana" w:hAnsi="Verdana"/>
          <w:b/>
          <w:sz w:val="18"/>
          <w:szCs w:val="18"/>
        </w:rPr>
        <w:t xml:space="preserve"> 26</w:t>
      </w:r>
      <w:r w:rsidR="00AB1921" w:rsidRPr="00546921">
        <w:rPr>
          <w:rFonts w:ascii="Verdana" w:hAnsi="Verdana"/>
          <w:b/>
          <w:sz w:val="18"/>
          <w:szCs w:val="18"/>
        </w:rPr>
        <w:t xml:space="preserve"> </w:t>
      </w:r>
    </w:p>
    <w:p w:rsidR="007F6C9B" w:rsidRPr="00546921" w:rsidRDefault="007F6C9B" w:rsidP="000709F1">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Pr="00546921">
        <w:rPr>
          <w:rFonts w:ascii="Verdana" w:hAnsi="Verdana"/>
          <w:sz w:val="18"/>
          <w:szCs w:val="18"/>
        </w:rPr>
        <w:t>1</w:t>
      </w:r>
      <w:r w:rsidR="00F35868" w:rsidRPr="00546921">
        <w:rPr>
          <w:rFonts w:ascii="Verdana" w:hAnsi="Verdana"/>
          <w:sz w:val="18"/>
          <w:szCs w:val="18"/>
        </w:rPr>
        <w:t>2 March 2015</w:t>
      </w:r>
    </w:p>
    <w:p w:rsidR="007F6C9B" w:rsidRPr="005D7615" w:rsidRDefault="007F6C9B" w:rsidP="000709F1">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Value-Added Tax Act 8</w:t>
      </w:r>
      <w:r w:rsidR="008B272F" w:rsidRPr="00546921">
        <w:rPr>
          <w:rFonts w:ascii="Verdana" w:hAnsi="Verdana"/>
          <w:sz w:val="18"/>
          <w:szCs w:val="18"/>
        </w:rPr>
        <w:t>9</w:t>
      </w:r>
      <w:r w:rsidR="008B272F" w:rsidRPr="005D7615">
        <w:rPr>
          <w:rFonts w:ascii="Verdana" w:hAnsi="Verdana"/>
          <w:sz w:val="18"/>
          <w:szCs w:val="18"/>
        </w:rPr>
        <w:t xml:space="preserve"> of</w:t>
      </w:r>
      <w:r w:rsidR="004027A6">
        <w:rPr>
          <w:rFonts w:ascii="Verdana" w:hAnsi="Verdana"/>
          <w:sz w:val="18"/>
          <w:szCs w:val="18"/>
        </w:rPr>
        <w:t xml:space="preserve"> 199</w:t>
      </w:r>
    </w:p>
    <w:p w:rsidR="007F6C9B" w:rsidRPr="005D7615" w:rsidRDefault="007F6C9B" w:rsidP="000709F1">
      <w:pPr>
        <w:overflowPunct/>
        <w:autoSpaceDE/>
        <w:autoSpaceDN/>
        <w:adjustRightInd/>
        <w:jc w:val="both"/>
        <w:textAlignment w:val="auto"/>
        <w:rPr>
          <w:rFonts w:ascii="Verdana" w:hAnsi="Verdana"/>
          <w:sz w:val="18"/>
          <w:szCs w:val="18"/>
        </w:rPr>
      </w:pPr>
      <w:r w:rsidRPr="005D7615">
        <w:rPr>
          <w:rFonts w:ascii="Verdana" w:hAnsi="Verdana"/>
          <w:b/>
          <w:sz w:val="18"/>
          <w:szCs w:val="18"/>
        </w:rPr>
        <w:t xml:space="preserve">Provisions: </w:t>
      </w:r>
      <w:r w:rsidR="005D7615" w:rsidRPr="005D7615">
        <w:rPr>
          <w:rFonts w:ascii="Verdana" w:hAnsi="Verdana"/>
          <w:sz w:val="18"/>
          <w:szCs w:val="18"/>
        </w:rPr>
        <w:t>S</w:t>
      </w:r>
      <w:r w:rsidRPr="005D7615">
        <w:rPr>
          <w:rFonts w:ascii="Verdana" w:hAnsi="Verdana"/>
          <w:sz w:val="18"/>
          <w:szCs w:val="18"/>
        </w:rPr>
        <w:t>ection</w:t>
      </w:r>
      <w:r w:rsidR="00F35868" w:rsidRPr="005D7615">
        <w:rPr>
          <w:rFonts w:ascii="Verdana" w:hAnsi="Verdana"/>
          <w:sz w:val="18"/>
          <w:szCs w:val="18"/>
        </w:rPr>
        <w:t xml:space="preserve"> 11(1</w:t>
      </w:r>
      <w:proofErr w:type="gramStart"/>
      <w:r w:rsidR="00F35868" w:rsidRPr="005D7615">
        <w:rPr>
          <w:rFonts w:ascii="Verdana" w:hAnsi="Verdana"/>
          <w:sz w:val="18"/>
          <w:szCs w:val="18"/>
        </w:rPr>
        <w:t>)</w:t>
      </w:r>
      <w:r w:rsidR="00F35868" w:rsidRPr="005D7615">
        <w:rPr>
          <w:rFonts w:ascii="Verdana" w:hAnsi="Verdana"/>
          <w:i/>
          <w:sz w:val="18"/>
          <w:szCs w:val="18"/>
        </w:rPr>
        <w:t>(</w:t>
      </w:r>
      <w:proofErr w:type="gramEnd"/>
      <w:r w:rsidR="00F35868" w:rsidRPr="005D7615">
        <w:rPr>
          <w:rFonts w:ascii="Verdana" w:hAnsi="Verdana"/>
          <w:i/>
          <w:sz w:val="18"/>
          <w:szCs w:val="18"/>
        </w:rPr>
        <w:t>j)</w:t>
      </w:r>
      <w:r w:rsidR="00F35868" w:rsidRPr="005D7615">
        <w:rPr>
          <w:rFonts w:ascii="Verdana" w:hAnsi="Verdana"/>
          <w:sz w:val="18"/>
          <w:szCs w:val="18"/>
        </w:rPr>
        <w:t xml:space="preserve"> </w:t>
      </w:r>
      <w:r w:rsidR="005D7615" w:rsidRPr="005D7615">
        <w:rPr>
          <w:rFonts w:ascii="Verdana" w:hAnsi="Verdana"/>
          <w:sz w:val="18"/>
          <w:szCs w:val="18"/>
        </w:rPr>
        <w:t>and s</w:t>
      </w:r>
      <w:r w:rsidR="00F35868" w:rsidRPr="005D7615">
        <w:rPr>
          <w:rFonts w:ascii="Verdana" w:hAnsi="Verdana"/>
          <w:sz w:val="18"/>
          <w:szCs w:val="18"/>
        </w:rPr>
        <w:t xml:space="preserve"> 13(3)</w:t>
      </w:r>
      <w:r w:rsidRPr="005D7615">
        <w:rPr>
          <w:rFonts w:ascii="Verdana" w:hAnsi="Verdana"/>
          <w:sz w:val="18"/>
          <w:szCs w:val="18"/>
        </w:rPr>
        <w:t>; para 7</w:t>
      </w:r>
      <w:r w:rsidRPr="005D7615">
        <w:rPr>
          <w:rFonts w:ascii="Verdana" w:hAnsi="Verdana"/>
          <w:i/>
          <w:sz w:val="18"/>
          <w:szCs w:val="18"/>
        </w:rPr>
        <w:t>(a)</w:t>
      </w:r>
      <w:r w:rsidRPr="005D7615">
        <w:rPr>
          <w:rFonts w:ascii="Verdana" w:hAnsi="Verdana"/>
          <w:sz w:val="18"/>
          <w:szCs w:val="18"/>
        </w:rPr>
        <w:t xml:space="preserve"> of Schedule 1 and item 12 in part B of Schedule 2 </w:t>
      </w:r>
    </w:p>
    <w:p w:rsidR="005D7615" w:rsidRPr="005D7615" w:rsidRDefault="005D7615" w:rsidP="000709F1">
      <w:pPr>
        <w:overflowPunct/>
        <w:autoSpaceDE/>
        <w:autoSpaceDN/>
        <w:adjustRightInd/>
        <w:jc w:val="both"/>
        <w:textAlignment w:val="auto"/>
        <w:rPr>
          <w:rFonts w:ascii="Verdana" w:hAnsi="Verdana"/>
          <w:b/>
          <w:sz w:val="18"/>
          <w:szCs w:val="18"/>
        </w:rPr>
      </w:pPr>
    </w:p>
    <w:p w:rsidR="00F35868" w:rsidRPr="005D7615" w:rsidRDefault="007F6C9B" w:rsidP="000709F1">
      <w:pPr>
        <w:overflowPunct/>
        <w:autoSpaceDE/>
        <w:autoSpaceDN/>
        <w:adjustRightInd/>
        <w:jc w:val="both"/>
        <w:textAlignment w:val="auto"/>
        <w:rPr>
          <w:rFonts w:ascii="Verdana" w:hAnsi="Verdana"/>
          <w:sz w:val="18"/>
          <w:szCs w:val="18"/>
        </w:rPr>
      </w:pPr>
      <w:r w:rsidRPr="005D7615">
        <w:rPr>
          <w:rFonts w:ascii="Verdana" w:hAnsi="Verdana"/>
          <w:b/>
          <w:sz w:val="18"/>
          <w:szCs w:val="18"/>
        </w:rPr>
        <w:t>Executive summary</w:t>
      </w:r>
      <w:r w:rsidRPr="005D7615">
        <w:rPr>
          <w:rFonts w:ascii="Verdana" w:hAnsi="Verdana"/>
          <w:sz w:val="18"/>
          <w:szCs w:val="18"/>
        </w:rPr>
        <w:t>: This ruling</w:t>
      </w:r>
      <w:r w:rsidR="00F35868" w:rsidRPr="005D7615">
        <w:rPr>
          <w:rFonts w:ascii="Verdana" w:hAnsi="Verdana"/>
          <w:sz w:val="18"/>
          <w:szCs w:val="18"/>
        </w:rPr>
        <w:t xml:space="preserve"> sets out the VAT treatment applicable to the supply and importation of herbs.</w:t>
      </w:r>
    </w:p>
    <w:p w:rsidR="0030187D" w:rsidRPr="005D7615" w:rsidRDefault="0030187D" w:rsidP="000709F1">
      <w:pPr>
        <w:overflowPunct/>
        <w:autoSpaceDE/>
        <w:autoSpaceDN/>
        <w:adjustRightInd/>
        <w:jc w:val="both"/>
        <w:textAlignment w:val="auto"/>
        <w:rPr>
          <w:rFonts w:ascii="Verdana" w:hAnsi="Verdana"/>
          <w:sz w:val="18"/>
          <w:szCs w:val="18"/>
        </w:rPr>
      </w:pPr>
    </w:p>
    <w:p w:rsidR="0030187D" w:rsidRPr="005D7615" w:rsidRDefault="0030187D" w:rsidP="000709F1">
      <w:pPr>
        <w:overflowPunct/>
        <w:autoSpaceDE/>
        <w:autoSpaceDN/>
        <w:adjustRightInd/>
        <w:jc w:val="both"/>
        <w:textAlignment w:val="auto"/>
        <w:rPr>
          <w:rFonts w:ascii="Verdana" w:hAnsi="Verdana"/>
          <w:sz w:val="18"/>
          <w:szCs w:val="18"/>
        </w:rPr>
      </w:pPr>
    </w:p>
    <w:p w:rsidR="001C6950" w:rsidRPr="00546921" w:rsidRDefault="00C47C83" w:rsidP="00655261">
      <w:pPr>
        <w:overflowPunct/>
        <w:autoSpaceDE/>
        <w:autoSpaceDN/>
        <w:adjustRightInd/>
        <w:jc w:val="both"/>
        <w:textAlignment w:val="auto"/>
        <w:rPr>
          <w:rFonts w:ascii="Verdana" w:hAnsi="Verdana"/>
          <w:b/>
          <w:sz w:val="18"/>
          <w:szCs w:val="18"/>
        </w:rPr>
      </w:pPr>
      <w:r w:rsidRPr="00546921">
        <w:rPr>
          <w:rFonts w:ascii="Verdana" w:hAnsi="Verdana"/>
          <w:b/>
          <w:sz w:val="18"/>
          <w:szCs w:val="18"/>
        </w:rPr>
        <w:t>B</w:t>
      </w:r>
      <w:r w:rsidR="0030187D" w:rsidRPr="00546921">
        <w:rPr>
          <w:rFonts w:ascii="Verdana" w:hAnsi="Verdana"/>
          <w:b/>
          <w:sz w:val="18"/>
          <w:szCs w:val="18"/>
        </w:rPr>
        <w:t>INDING GENERAL RULING</w:t>
      </w:r>
      <w:r w:rsidRPr="00546921">
        <w:rPr>
          <w:rFonts w:ascii="Verdana" w:hAnsi="Verdana"/>
          <w:b/>
          <w:sz w:val="18"/>
          <w:szCs w:val="18"/>
        </w:rPr>
        <w:t xml:space="preserve"> 27</w:t>
      </w:r>
    </w:p>
    <w:p w:rsidR="0030187D" w:rsidRPr="00546921" w:rsidRDefault="0030187D" w:rsidP="0030187D">
      <w:pPr>
        <w:overflowPunct/>
        <w:autoSpaceDE/>
        <w:autoSpaceDN/>
        <w:adjustRightInd/>
        <w:jc w:val="both"/>
        <w:textAlignment w:val="auto"/>
        <w:rPr>
          <w:rFonts w:ascii="Verdana" w:hAnsi="Verdana"/>
          <w:b/>
          <w:sz w:val="18"/>
          <w:szCs w:val="18"/>
        </w:rPr>
      </w:pPr>
      <w:r w:rsidRPr="00546921">
        <w:rPr>
          <w:rFonts w:ascii="Verdana" w:hAnsi="Verdana"/>
          <w:b/>
          <w:sz w:val="18"/>
          <w:szCs w:val="18"/>
        </w:rPr>
        <w:t>Effective date:</w:t>
      </w:r>
      <w:r w:rsidR="001C6950" w:rsidRPr="00546921">
        <w:rPr>
          <w:rFonts w:ascii="Verdana" w:hAnsi="Verdana"/>
          <w:b/>
          <w:sz w:val="18"/>
          <w:szCs w:val="18"/>
        </w:rPr>
        <w:t xml:space="preserve"> </w:t>
      </w:r>
      <w:r w:rsidR="001C6950" w:rsidRPr="00546921">
        <w:rPr>
          <w:rFonts w:ascii="Verdana" w:hAnsi="Verdana"/>
          <w:sz w:val="18"/>
          <w:szCs w:val="18"/>
        </w:rPr>
        <w:t>26 March 2015</w:t>
      </w:r>
    </w:p>
    <w:p w:rsidR="0030187D" w:rsidRPr="00546921" w:rsidRDefault="0030187D" w:rsidP="0030187D">
      <w:pPr>
        <w:overflowPunct/>
        <w:autoSpaceDE/>
        <w:autoSpaceDN/>
        <w:adjustRightInd/>
        <w:jc w:val="both"/>
        <w:textAlignment w:val="auto"/>
        <w:rPr>
          <w:rFonts w:ascii="Verdana" w:hAnsi="Verdana"/>
          <w:b/>
          <w:sz w:val="18"/>
          <w:szCs w:val="18"/>
        </w:rPr>
      </w:pPr>
      <w:r w:rsidRPr="00546921">
        <w:rPr>
          <w:rFonts w:ascii="Verdana" w:hAnsi="Verdana"/>
          <w:b/>
          <w:sz w:val="18"/>
          <w:szCs w:val="18"/>
        </w:rPr>
        <w:t>Affected legislation:</w:t>
      </w:r>
      <w:r w:rsidR="001C6950" w:rsidRPr="00546921">
        <w:rPr>
          <w:rFonts w:ascii="Verdana" w:hAnsi="Verdana"/>
          <w:b/>
          <w:sz w:val="18"/>
          <w:szCs w:val="18"/>
        </w:rPr>
        <w:t xml:space="preserve"> </w:t>
      </w:r>
      <w:r w:rsidR="001C6950" w:rsidRPr="00546921">
        <w:rPr>
          <w:rFonts w:ascii="Verdana" w:hAnsi="Verdana"/>
          <w:sz w:val="18"/>
          <w:szCs w:val="18"/>
        </w:rPr>
        <w:t>Value-Added Tax Act 89 of 1991</w:t>
      </w:r>
    </w:p>
    <w:p w:rsidR="0030187D" w:rsidRPr="00546921" w:rsidRDefault="0030187D" w:rsidP="0030187D">
      <w:pPr>
        <w:overflowPunct/>
        <w:autoSpaceDE/>
        <w:autoSpaceDN/>
        <w:adjustRightInd/>
        <w:jc w:val="both"/>
        <w:textAlignment w:val="auto"/>
        <w:rPr>
          <w:rFonts w:ascii="Verdana" w:hAnsi="Verdana"/>
          <w:sz w:val="18"/>
          <w:szCs w:val="18"/>
        </w:rPr>
      </w:pPr>
      <w:r w:rsidRPr="00546921">
        <w:rPr>
          <w:rFonts w:ascii="Verdana" w:hAnsi="Verdana"/>
          <w:b/>
          <w:sz w:val="18"/>
          <w:szCs w:val="18"/>
        </w:rPr>
        <w:t>Provisions:</w:t>
      </w:r>
      <w:r w:rsidR="001C6950" w:rsidRPr="00546921">
        <w:rPr>
          <w:rFonts w:ascii="Verdana" w:hAnsi="Verdana"/>
          <w:b/>
          <w:sz w:val="18"/>
          <w:szCs w:val="18"/>
        </w:rPr>
        <w:t xml:space="preserve"> </w:t>
      </w:r>
      <w:r w:rsidR="005D7615" w:rsidRPr="00546921">
        <w:rPr>
          <w:rFonts w:ascii="Verdana" w:hAnsi="Verdana"/>
          <w:sz w:val="18"/>
          <w:szCs w:val="18"/>
        </w:rPr>
        <w:t>S</w:t>
      </w:r>
      <w:r w:rsidR="001C6950" w:rsidRPr="00546921">
        <w:rPr>
          <w:rFonts w:ascii="Verdana" w:hAnsi="Verdana"/>
          <w:sz w:val="18"/>
          <w:szCs w:val="18"/>
        </w:rPr>
        <w:t>ections</w:t>
      </w:r>
      <w:r w:rsidR="004027A6" w:rsidRPr="00546921">
        <w:rPr>
          <w:rFonts w:ascii="Verdana" w:hAnsi="Verdana"/>
          <w:sz w:val="18"/>
          <w:szCs w:val="18"/>
        </w:rPr>
        <w:t xml:space="preserve"> 20(4), (5), (7), 21(1) and (5)</w:t>
      </w:r>
    </w:p>
    <w:p w:rsidR="005D7615" w:rsidRPr="00546921" w:rsidRDefault="005D7615" w:rsidP="0030187D">
      <w:pPr>
        <w:overflowPunct/>
        <w:autoSpaceDE/>
        <w:autoSpaceDN/>
        <w:adjustRightInd/>
        <w:jc w:val="both"/>
        <w:textAlignment w:val="auto"/>
        <w:rPr>
          <w:rFonts w:ascii="Verdana" w:hAnsi="Verdana"/>
          <w:b/>
          <w:sz w:val="18"/>
          <w:szCs w:val="18"/>
        </w:rPr>
      </w:pPr>
    </w:p>
    <w:p w:rsidR="0030187D" w:rsidRPr="00546921" w:rsidRDefault="0030187D" w:rsidP="0030187D">
      <w:pPr>
        <w:overflowPunct/>
        <w:autoSpaceDE/>
        <w:autoSpaceDN/>
        <w:adjustRightInd/>
        <w:jc w:val="both"/>
        <w:textAlignment w:val="auto"/>
        <w:rPr>
          <w:rFonts w:ascii="Verdana" w:hAnsi="Verdana"/>
          <w:b/>
          <w:sz w:val="18"/>
          <w:szCs w:val="18"/>
        </w:rPr>
      </w:pPr>
      <w:r w:rsidRPr="00546921">
        <w:rPr>
          <w:rFonts w:ascii="Verdana" w:hAnsi="Verdana"/>
          <w:b/>
          <w:sz w:val="18"/>
          <w:szCs w:val="18"/>
        </w:rPr>
        <w:t>Executive summary:</w:t>
      </w:r>
      <w:r w:rsidR="001C6950" w:rsidRPr="00546921">
        <w:rPr>
          <w:rFonts w:ascii="Verdana" w:hAnsi="Verdana"/>
          <w:sz w:val="18"/>
          <w:szCs w:val="18"/>
        </w:rPr>
        <w:t xml:space="preserve"> This ruling sets out the circumstances and conditions under which a vendor need not issue a tax invoice, credit or debit note.</w:t>
      </w:r>
    </w:p>
    <w:p w:rsidR="0030187D" w:rsidRPr="00546921" w:rsidRDefault="0030187D" w:rsidP="0030187D">
      <w:pPr>
        <w:overflowPunct/>
        <w:autoSpaceDE/>
        <w:autoSpaceDN/>
        <w:adjustRightInd/>
        <w:jc w:val="both"/>
        <w:textAlignment w:val="auto"/>
        <w:rPr>
          <w:rFonts w:ascii="Verdana" w:hAnsi="Verdana"/>
          <w:b/>
          <w:sz w:val="18"/>
          <w:szCs w:val="18"/>
        </w:rPr>
      </w:pPr>
    </w:p>
    <w:p w:rsidR="00C806C5" w:rsidRPr="00546921" w:rsidRDefault="00C806C5" w:rsidP="0030187D">
      <w:pPr>
        <w:overflowPunct/>
        <w:autoSpaceDE/>
        <w:autoSpaceDN/>
        <w:adjustRightInd/>
        <w:jc w:val="both"/>
        <w:textAlignment w:val="auto"/>
        <w:rPr>
          <w:rFonts w:ascii="Verdana" w:hAnsi="Verdana"/>
          <w:b/>
          <w:sz w:val="18"/>
          <w:szCs w:val="18"/>
        </w:rPr>
      </w:pPr>
    </w:p>
    <w:p w:rsidR="00C806C5" w:rsidRPr="00546921" w:rsidRDefault="00C806C5" w:rsidP="0030187D">
      <w:pPr>
        <w:overflowPunct/>
        <w:autoSpaceDE/>
        <w:autoSpaceDN/>
        <w:adjustRightInd/>
        <w:jc w:val="both"/>
        <w:textAlignment w:val="auto"/>
        <w:rPr>
          <w:rFonts w:ascii="Verdana" w:hAnsi="Verdana"/>
          <w:b/>
          <w:sz w:val="18"/>
          <w:szCs w:val="18"/>
        </w:rPr>
      </w:pPr>
      <w:r w:rsidRPr="00546921">
        <w:rPr>
          <w:rFonts w:ascii="Verdana" w:hAnsi="Verdana"/>
          <w:b/>
          <w:sz w:val="18"/>
          <w:szCs w:val="18"/>
        </w:rPr>
        <w:t>BINDING GENERAL RULING 28</w:t>
      </w:r>
      <w:r w:rsidR="0006775F" w:rsidRPr="00546921">
        <w:rPr>
          <w:rFonts w:ascii="Verdana" w:hAnsi="Verdana"/>
          <w:b/>
          <w:sz w:val="18"/>
          <w:szCs w:val="18"/>
        </w:rPr>
        <w:t xml:space="preserve"> </w:t>
      </w:r>
    </w:p>
    <w:p w:rsidR="0030187D" w:rsidRPr="00546921" w:rsidRDefault="0030187D" w:rsidP="0030187D">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00C806C5" w:rsidRPr="00546921">
        <w:rPr>
          <w:rFonts w:ascii="Verdana" w:hAnsi="Verdana"/>
          <w:b/>
          <w:sz w:val="18"/>
          <w:szCs w:val="18"/>
        </w:rPr>
        <w:t xml:space="preserve"> </w:t>
      </w:r>
      <w:r w:rsidR="00C806C5" w:rsidRPr="00546921">
        <w:rPr>
          <w:rFonts w:ascii="Verdana" w:hAnsi="Verdana"/>
          <w:sz w:val="18"/>
          <w:szCs w:val="18"/>
        </w:rPr>
        <w:t>26 March 2015</w:t>
      </w:r>
    </w:p>
    <w:p w:rsidR="0030187D" w:rsidRPr="004027A6" w:rsidRDefault="0030187D" w:rsidP="0030187D">
      <w:pPr>
        <w:overflowPunct/>
        <w:autoSpaceDE/>
        <w:autoSpaceDN/>
        <w:adjustRightInd/>
        <w:jc w:val="both"/>
        <w:textAlignment w:val="auto"/>
        <w:rPr>
          <w:rFonts w:ascii="Verdana" w:hAnsi="Verdana"/>
          <w:b/>
          <w:sz w:val="18"/>
          <w:szCs w:val="18"/>
        </w:rPr>
      </w:pPr>
      <w:r w:rsidRPr="00546921">
        <w:rPr>
          <w:rFonts w:ascii="Verdana" w:hAnsi="Verdana"/>
          <w:b/>
          <w:sz w:val="18"/>
          <w:szCs w:val="18"/>
        </w:rPr>
        <w:t>Affected legislation:</w:t>
      </w:r>
      <w:r w:rsidR="00C806C5" w:rsidRPr="00546921">
        <w:rPr>
          <w:rFonts w:ascii="Verdana" w:hAnsi="Verdana"/>
          <w:sz w:val="18"/>
          <w:szCs w:val="18"/>
        </w:rPr>
        <w:t xml:space="preserve"> </w:t>
      </w:r>
      <w:r w:rsidR="004027A6" w:rsidRPr="00546921">
        <w:rPr>
          <w:rFonts w:ascii="Verdana" w:hAnsi="Verdana"/>
          <w:sz w:val="18"/>
          <w:szCs w:val="18"/>
        </w:rPr>
        <w:t>Value-Added Tax Act 89</w:t>
      </w:r>
      <w:r w:rsidR="004027A6">
        <w:rPr>
          <w:rFonts w:ascii="Verdana" w:hAnsi="Verdana"/>
          <w:sz w:val="18"/>
          <w:szCs w:val="18"/>
        </w:rPr>
        <w:t xml:space="preserve"> of</w:t>
      </w:r>
      <w:r w:rsidR="002C571B">
        <w:rPr>
          <w:rFonts w:ascii="Verdana" w:hAnsi="Verdana"/>
          <w:sz w:val="18"/>
          <w:szCs w:val="18"/>
        </w:rPr>
        <w:t xml:space="preserve"> </w:t>
      </w:r>
      <w:r w:rsidR="004027A6">
        <w:rPr>
          <w:rFonts w:ascii="Verdana" w:hAnsi="Verdana"/>
          <w:sz w:val="18"/>
          <w:szCs w:val="18"/>
        </w:rPr>
        <w:t>1991</w:t>
      </w:r>
    </w:p>
    <w:p w:rsidR="0030187D" w:rsidRPr="004027A6" w:rsidRDefault="0030187D" w:rsidP="0030187D">
      <w:pPr>
        <w:overflowPunct/>
        <w:autoSpaceDE/>
        <w:autoSpaceDN/>
        <w:adjustRightInd/>
        <w:jc w:val="both"/>
        <w:textAlignment w:val="auto"/>
        <w:rPr>
          <w:rFonts w:ascii="Verdana" w:hAnsi="Verdana"/>
          <w:b/>
          <w:sz w:val="18"/>
          <w:szCs w:val="18"/>
        </w:rPr>
      </w:pPr>
      <w:r w:rsidRPr="004027A6">
        <w:rPr>
          <w:rFonts w:ascii="Verdana" w:hAnsi="Verdana"/>
          <w:b/>
          <w:sz w:val="18"/>
          <w:szCs w:val="18"/>
        </w:rPr>
        <w:t>Provisions:</w:t>
      </w:r>
      <w:r w:rsidR="00C806C5" w:rsidRPr="004027A6">
        <w:rPr>
          <w:rFonts w:ascii="Verdana" w:hAnsi="Verdana"/>
          <w:sz w:val="18"/>
          <w:szCs w:val="18"/>
        </w:rPr>
        <w:t xml:space="preserve"> </w:t>
      </w:r>
      <w:r w:rsidR="004027A6">
        <w:rPr>
          <w:rFonts w:ascii="Verdana" w:hAnsi="Verdana"/>
          <w:sz w:val="18"/>
          <w:szCs w:val="18"/>
        </w:rPr>
        <w:t>S</w:t>
      </w:r>
      <w:r w:rsidR="00C806C5" w:rsidRPr="004027A6">
        <w:rPr>
          <w:rFonts w:ascii="Verdana" w:hAnsi="Verdana"/>
          <w:sz w:val="18"/>
          <w:szCs w:val="18"/>
        </w:rPr>
        <w:t>ections 20, 21 and 65</w:t>
      </w:r>
    </w:p>
    <w:p w:rsidR="004027A6" w:rsidRPr="004027A6" w:rsidRDefault="004027A6" w:rsidP="00C806C5">
      <w:pPr>
        <w:overflowPunct/>
        <w:autoSpaceDE/>
        <w:autoSpaceDN/>
        <w:adjustRightInd/>
        <w:jc w:val="both"/>
        <w:textAlignment w:val="auto"/>
        <w:rPr>
          <w:rFonts w:ascii="Verdana" w:hAnsi="Verdana"/>
          <w:b/>
          <w:sz w:val="18"/>
          <w:szCs w:val="18"/>
        </w:rPr>
      </w:pPr>
    </w:p>
    <w:p w:rsidR="00C806C5" w:rsidRPr="004027A6" w:rsidRDefault="0030187D" w:rsidP="00C806C5">
      <w:pPr>
        <w:overflowPunct/>
        <w:autoSpaceDE/>
        <w:autoSpaceDN/>
        <w:adjustRightInd/>
        <w:jc w:val="both"/>
        <w:textAlignment w:val="auto"/>
        <w:rPr>
          <w:rFonts w:ascii="Verdana" w:hAnsi="Verdana"/>
          <w:sz w:val="18"/>
          <w:szCs w:val="18"/>
        </w:rPr>
      </w:pPr>
      <w:r w:rsidRPr="004027A6">
        <w:rPr>
          <w:rFonts w:ascii="Verdana" w:hAnsi="Verdana"/>
          <w:b/>
          <w:sz w:val="18"/>
          <w:szCs w:val="18"/>
        </w:rPr>
        <w:t>Executive summary</w:t>
      </w:r>
      <w:r w:rsidR="00C806C5" w:rsidRPr="004027A6">
        <w:rPr>
          <w:rFonts w:ascii="Verdana" w:hAnsi="Verdana"/>
          <w:b/>
          <w:sz w:val="18"/>
          <w:szCs w:val="18"/>
        </w:rPr>
        <w:t xml:space="preserve">: </w:t>
      </w:r>
      <w:r w:rsidR="00C806C5" w:rsidRPr="004027A6">
        <w:rPr>
          <w:rFonts w:ascii="Verdana" w:hAnsi="Verdana"/>
          <w:sz w:val="18"/>
          <w:szCs w:val="18"/>
        </w:rPr>
        <w:t>This ruling sets out the information that must be contained in a tax invoice, credit or debit note in order to sat</w:t>
      </w:r>
      <w:r w:rsidR="004027A6">
        <w:rPr>
          <w:rFonts w:ascii="Verdana" w:hAnsi="Verdana"/>
          <w:sz w:val="18"/>
          <w:szCs w:val="18"/>
        </w:rPr>
        <w:t>isfy the requirements of s</w:t>
      </w:r>
      <w:r w:rsidR="00C806C5" w:rsidRPr="004027A6">
        <w:rPr>
          <w:rFonts w:ascii="Verdana" w:hAnsi="Verdana"/>
          <w:sz w:val="18"/>
          <w:szCs w:val="18"/>
        </w:rPr>
        <w:t xml:space="preserve"> 20(7) or 21(5), the exchange rate that must be applied in order to determine the amount of the VAT charged in the currency of the Republic and the manner in which prices must be advertised or quoted, for the supply of electronic services by an electronic services supplier.</w:t>
      </w:r>
    </w:p>
    <w:p w:rsidR="0030187D" w:rsidRPr="004027A6" w:rsidRDefault="0030187D" w:rsidP="0030187D">
      <w:pPr>
        <w:overflowPunct/>
        <w:autoSpaceDE/>
        <w:autoSpaceDN/>
        <w:adjustRightInd/>
        <w:jc w:val="both"/>
        <w:textAlignment w:val="auto"/>
        <w:rPr>
          <w:rFonts w:ascii="Verdana" w:hAnsi="Verdana"/>
          <w:sz w:val="18"/>
          <w:szCs w:val="18"/>
        </w:rPr>
      </w:pPr>
    </w:p>
    <w:p w:rsidR="00C806C5" w:rsidRPr="004027A6" w:rsidRDefault="00C806C5" w:rsidP="000709F1">
      <w:pPr>
        <w:overflowPunct/>
        <w:autoSpaceDE/>
        <w:autoSpaceDN/>
        <w:adjustRightInd/>
        <w:jc w:val="both"/>
        <w:textAlignment w:val="auto"/>
        <w:rPr>
          <w:rFonts w:ascii="Verdana" w:hAnsi="Verdana"/>
          <w:sz w:val="18"/>
          <w:szCs w:val="18"/>
        </w:rPr>
      </w:pPr>
    </w:p>
    <w:p w:rsidR="00AE0F7B" w:rsidRDefault="00AE0F7B" w:rsidP="000709F1">
      <w:pPr>
        <w:overflowPunct/>
        <w:autoSpaceDE/>
        <w:autoSpaceDN/>
        <w:adjustRightInd/>
        <w:jc w:val="both"/>
        <w:textAlignment w:val="auto"/>
      </w:pPr>
    </w:p>
    <w:p w:rsidR="00487106" w:rsidRPr="00306829" w:rsidRDefault="00945762" w:rsidP="00306829">
      <w:pPr>
        <w:overflowPunct/>
        <w:autoSpaceDE/>
        <w:autoSpaceDN/>
        <w:adjustRightInd/>
        <w:jc w:val="center"/>
        <w:textAlignment w:val="auto"/>
        <w:rPr>
          <w:rFonts w:ascii="Verdana" w:hAnsi="Verdana"/>
          <w:b/>
          <w:i/>
          <w:color w:val="00B0F0"/>
          <w:sz w:val="24"/>
          <w:szCs w:val="24"/>
          <w:lang w:val="en-ZA" w:eastAsia="en-ZA"/>
        </w:rPr>
      </w:pPr>
      <w:r>
        <w:rPr>
          <w:rFonts w:ascii="Verdana" w:hAnsi="Verdana"/>
          <w:b/>
          <w:i/>
          <w:color w:val="008080"/>
          <w:sz w:val="24"/>
          <w:szCs w:val="24"/>
        </w:rPr>
        <w:t>BINDING CLASS RULINGS</w:t>
      </w:r>
    </w:p>
    <w:p w:rsidR="000C7C64" w:rsidRPr="004027A6" w:rsidRDefault="000C7C64" w:rsidP="004B321A">
      <w:pPr>
        <w:spacing w:line="240" w:lineRule="atLeast"/>
        <w:jc w:val="center"/>
        <w:rPr>
          <w:rFonts w:ascii="Verdana" w:hAnsi="Verdana"/>
          <w:sz w:val="18"/>
          <w:szCs w:val="18"/>
          <w:lang w:val="en-ZA" w:eastAsia="en-ZA"/>
        </w:rPr>
      </w:pPr>
    </w:p>
    <w:p w:rsidR="0029199C" w:rsidRPr="00546921" w:rsidRDefault="0029199C" w:rsidP="00306829">
      <w:pPr>
        <w:overflowPunct/>
        <w:autoSpaceDE/>
        <w:autoSpaceDN/>
        <w:adjustRightInd/>
        <w:jc w:val="both"/>
        <w:textAlignment w:val="auto"/>
        <w:rPr>
          <w:rFonts w:ascii="Verdana" w:hAnsi="Verdana"/>
          <w:b/>
          <w:sz w:val="18"/>
          <w:szCs w:val="18"/>
        </w:rPr>
      </w:pPr>
      <w:r w:rsidRPr="00546921">
        <w:rPr>
          <w:rFonts w:ascii="Verdana" w:hAnsi="Verdana"/>
          <w:b/>
          <w:sz w:val="18"/>
          <w:szCs w:val="18"/>
        </w:rPr>
        <w:t>BINDING CLASS RULING: 008</w:t>
      </w:r>
      <w:r w:rsidRPr="00546921">
        <w:rPr>
          <w:rFonts w:ascii="Verdana" w:hAnsi="Verdana"/>
          <w:sz w:val="18"/>
          <w:szCs w:val="18"/>
        </w:rPr>
        <w:t xml:space="preserve"> </w:t>
      </w:r>
    </w:p>
    <w:p w:rsidR="0029199C" w:rsidRPr="00546921" w:rsidRDefault="0029199C"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Pr="00546921">
        <w:rPr>
          <w:rFonts w:ascii="Verdana" w:hAnsi="Verdana"/>
          <w:sz w:val="18"/>
          <w:szCs w:val="18"/>
        </w:rPr>
        <w:t xml:space="preserve"> 16 October 2009 </w:t>
      </w:r>
    </w:p>
    <w:p w:rsidR="0029199C" w:rsidRPr="00546921" w:rsidRDefault="0029199C"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Affected legislation:</w:t>
      </w:r>
      <w:r w:rsidRPr="00546921">
        <w:rPr>
          <w:rFonts w:ascii="Verdana" w:hAnsi="Verdana"/>
          <w:sz w:val="18"/>
          <w:szCs w:val="18"/>
        </w:rPr>
        <w:t xml:space="preserve"> Income Tax Act 58 of</w:t>
      </w:r>
      <w:r w:rsidR="002809DD" w:rsidRPr="00546921">
        <w:rPr>
          <w:rFonts w:ascii="Verdana" w:hAnsi="Verdana"/>
          <w:sz w:val="18"/>
          <w:szCs w:val="18"/>
        </w:rPr>
        <w:t xml:space="preserve"> 1962</w:t>
      </w:r>
    </w:p>
    <w:p w:rsidR="0029199C" w:rsidRPr="00546921" w:rsidRDefault="0029199C"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4027A6" w:rsidRPr="00546921">
        <w:rPr>
          <w:rFonts w:ascii="Verdana" w:hAnsi="Verdana"/>
          <w:sz w:val="18"/>
          <w:szCs w:val="18"/>
        </w:rPr>
        <w:t>S</w:t>
      </w:r>
      <w:r w:rsidRPr="00546921">
        <w:rPr>
          <w:rFonts w:ascii="Verdana" w:hAnsi="Verdana"/>
          <w:sz w:val="18"/>
          <w:szCs w:val="18"/>
        </w:rPr>
        <w:t xml:space="preserve">ection 1, definition of </w:t>
      </w:r>
      <w:r w:rsidR="004027A6" w:rsidRPr="00546921">
        <w:rPr>
          <w:rFonts w:ascii="Verdana" w:hAnsi="Verdana"/>
          <w:sz w:val="18"/>
          <w:szCs w:val="18"/>
        </w:rPr>
        <w:t>‘</w:t>
      </w:r>
      <w:r w:rsidRPr="00546921">
        <w:rPr>
          <w:rFonts w:ascii="Verdana" w:hAnsi="Verdana"/>
          <w:sz w:val="18"/>
          <w:szCs w:val="18"/>
        </w:rPr>
        <w:t>gross income</w:t>
      </w:r>
      <w:r w:rsidR="004027A6" w:rsidRPr="00546921">
        <w:rPr>
          <w:rFonts w:ascii="Verdana" w:hAnsi="Verdana"/>
          <w:sz w:val="18"/>
          <w:szCs w:val="18"/>
        </w:rPr>
        <w:t>’</w:t>
      </w:r>
      <w:r w:rsidR="000C7C64" w:rsidRPr="00546921">
        <w:rPr>
          <w:rFonts w:ascii="Verdana" w:hAnsi="Verdana"/>
          <w:sz w:val="18"/>
          <w:szCs w:val="18"/>
        </w:rPr>
        <w:t xml:space="preserve">; </w:t>
      </w:r>
      <w:r w:rsidRPr="00546921">
        <w:rPr>
          <w:rFonts w:ascii="Verdana" w:hAnsi="Verdana"/>
          <w:sz w:val="18"/>
          <w:szCs w:val="18"/>
        </w:rPr>
        <w:t xml:space="preserve">paragraph </w:t>
      </w:r>
      <w:r w:rsidRPr="00546921">
        <w:rPr>
          <w:rFonts w:ascii="Verdana" w:hAnsi="Verdana"/>
          <w:i/>
          <w:sz w:val="18"/>
          <w:szCs w:val="18"/>
        </w:rPr>
        <w:t>(</w:t>
      </w:r>
      <w:proofErr w:type="spellStart"/>
      <w:r w:rsidRPr="00546921">
        <w:rPr>
          <w:rFonts w:ascii="Verdana" w:hAnsi="Verdana"/>
          <w:i/>
          <w:sz w:val="18"/>
          <w:szCs w:val="18"/>
        </w:rPr>
        <w:t>i</w:t>
      </w:r>
      <w:proofErr w:type="spellEnd"/>
      <w:r w:rsidRPr="00546921">
        <w:rPr>
          <w:rFonts w:ascii="Verdana" w:hAnsi="Verdana"/>
          <w:i/>
          <w:sz w:val="18"/>
          <w:szCs w:val="18"/>
        </w:rPr>
        <w:t>)</w:t>
      </w:r>
      <w:r w:rsidRPr="00546921">
        <w:rPr>
          <w:rFonts w:ascii="Verdana" w:hAnsi="Verdana"/>
          <w:sz w:val="18"/>
          <w:szCs w:val="18"/>
        </w:rPr>
        <w:t xml:space="preserve"> and paras 2</w:t>
      </w:r>
      <w:r w:rsidRPr="00546921">
        <w:rPr>
          <w:rFonts w:ascii="Verdana" w:hAnsi="Verdana"/>
          <w:i/>
          <w:sz w:val="18"/>
          <w:szCs w:val="18"/>
        </w:rPr>
        <w:t>(</w:t>
      </w:r>
      <w:proofErr w:type="spellStart"/>
      <w:r w:rsidRPr="00546921">
        <w:rPr>
          <w:rFonts w:ascii="Verdana" w:hAnsi="Verdana"/>
          <w:i/>
          <w:sz w:val="18"/>
          <w:szCs w:val="18"/>
        </w:rPr>
        <w:t>i</w:t>
      </w:r>
      <w:proofErr w:type="spellEnd"/>
      <w:r w:rsidRPr="00546921">
        <w:rPr>
          <w:rFonts w:ascii="Verdana" w:hAnsi="Verdana"/>
          <w:i/>
          <w:sz w:val="18"/>
          <w:szCs w:val="18"/>
        </w:rPr>
        <w:t>)</w:t>
      </w:r>
      <w:r w:rsidRPr="00546921">
        <w:rPr>
          <w:rFonts w:ascii="Verdana" w:hAnsi="Verdana"/>
          <w:sz w:val="18"/>
          <w:szCs w:val="18"/>
        </w:rPr>
        <w:t xml:space="preserve"> and 12</w:t>
      </w:r>
      <w:r w:rsidR="000C7C64" w:rsidRPr="00546921">
        <w:rPr>
          <w:rFonts w:ascii="Verdana" w:hAnsi="Verdana"/>
          <w:sz w:val="18"/>
          <w:szCs w:val="18"/>
        </w:rPr>
        <w:t>A</w:t>
      </w:r>
      <w:r w:rsidRPr="00546921">
        <w:rPr>
          <w:rFonts w:ascii="Verdana" w:hAnsi="Verdana"/>
          <w:sz w:val="18"/>
          <w:szCs w:val="18"/>
        </w:rPr>
        <w:t xml:space="preserve"> of </w:t>
      </w:r>
      <w:r w:rsidR="00B455BA" w:rsidRPr="00546921">
        <w:rPr>
          <w:rFonts w:ascii="Verdana" w:hAnsi="Verdana"/>
          <w:sz w:val="18"/>
          <w:szCs w:val="18"/>
        </w:rPr>
        <w:t>the Seventh Schedule to the Act</w:t>
      </w:r>
    </w:p>
    <w:p w:rsidR="004027A6" w:rsidRPr="00546921" w:rsidRDefault="004027A6" w:rsidP="00655261">
      <w:pPr>
        <w:overflowPunct/>
        <w:autoSpaceDE/>
        <w:autoSpaceDN/>
        <w:adjustRightInd/>
        <w:jc w:val="both"/>
        <w:textAlignment w:val="auto"/>
        <w:rPr>
          <w:rFonts w:ascii="Verdana" w:hAnsi="Verdana"/>
          <w:b/>
          <w:sz w:val="18"/>
          <w:szCs w:val="18"/>
        </w:rPr>
      </w:pPr>
    </w:p>
    <w:p w:rsidR="00E070CD" w:rsidRPr="00546921" w:rsidRDefault="0029199C" w:rsidP="00655261">
      <w:pPr>
        <w:overflowPunct/>
        <w:autoSpaceDE/>
        <w:autoSpaceDN/>
        <w:adjustRightInd/>
        <w:jc w:val="both"/>
        <w:textAlignment w:val="auto"/>
        <w:rPr>
          <w:rFonts w:ascii="Verdana" w:hAnsi="Verdana"/>
          <w:sz w:val="18"/>
          <w:szCs w:val="18"/>
          <w:lang w:val="en-ZA" w:eastAsia="en-ZA"/>
        </w:rPr>
      </w:pPr>
      <w:r w:rsidRPr="00546921">
        <w:rPr>
          <w:rFonts w:ascii="Verdana" w:hAnsi="Verdana"/>
          <w:b/>
          <w:sz w:val="18"/>
          <w:szCs w:val="18"/>
        </w:rPr>
        <w:t>Executive summary:</w:t>
      </w:r>
      <w:r w:rsidRPr="00546921">
        <w:rPr>
          <w:rFonts w:ascii="Verdana" w:hAnsi="Verdana"/>
          <w:sz w:val="18"/>
          <w:szCs w:val="18"/>
        </w:rPr>
        <w:t xml:space="preserve"> This ruling deals with the tax consequences for pensioners whose former employers purchase annuity policies from insurers in the pensioners’ names in settlement of the employer’s obligation to pay medical aid contribution subsidies to ensure that the pensioners continue to be members of medical aid schemes.</w:t>
      </w:r>
    </w:p>
    <w:p w:rsidR="00E070CD" w:rsidRPr="00546921" w:rsidRDefault="00E070CD" w:rsidP="00306829">
      <w:pPr>
        <w:overflowPunct/>
        <w:autoSpaceDE/>
        <w:autoSpaceDN/>
        <w:adjustRightInd/>
        <w:jc w:val="both"/>
        <w:textAlignment w:val="auto"/>
        <w:rPr>
          <w:rFonts w:ascii="Verdana" w:hAnsi="Verdana"/>
          <w:sz w:val="18"/>
          <w:szCs w:val="18"/>
          <w:lang w:eastAsia="en-ZA"/>
        </w:rPr>
      </w:pPr>
    </w:p>
    <w:p w:rsidR="00EB234A" w:rsidRPr="00546921" w:rsidRDefault="00EB234A" w:rsidP="00306829">
      <w:pPr>
        <w:overflowPunct/>
        <w:autoSpaceDE/>
        <w:autoSpaceDN/>
        <w:adjustRightInd/>
        <w:jc w:val="both"/>
        <w:textAlignment w:val="auto"/>
        <w:rPr>
          <w:rFonts w:ascii="Verdana" w:hAnsi="Verdana"/>
          <w:sz w:val="18"/>
          <w:szCs w:val="18"/>
          <w:lang w:eastAsia="en-ZA"/>
        </w:rPr>
      </w:pPr>
    </w:p>
    <w:p w:rsidR="00EB234A" w:rsidRPr="00546921" w:rsidRDefault="00EB234A" w:rsidP="00306829">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BINDING CLASS RULING 045 </w:t>
      </w:r>
    </w:p>
    <w:p w:rsidR="00EB234A" w:rsidRPr="00546921" w:rsidRDefault="00EB234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Pr="00546921">
        <w:rPr>
          <w:rFonts w:ascii="Verdana" w:hAnsi="Verdana"/>
          <w:sz w:val="18"/>
          <w:szCs w:val="18"/>
        </w:rPr>
        <w:t xml:space="preserve">24 March 2015 </w:t>
      </w:r>
    </w:p>
    <w:p w:rsidR="00EB234A" w:rsidRPr="00546921" w:rsidRDefault="00EB234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Income Tax Act 58 of 1962</w:t>
      </w:r>
    </w:p>
    <w:p w:rsidR="00EB234A" w:rsidRPr="00546921" w:rsidRDefault="00EB234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E5781D" w:rsidRPr="00546921">
        <w:rPr>
          <w:rFonts w:ascii="Verdana" w:hAnsi="Verdana"/>
          <w:sz w:val="18"/>
          <w:szCs w:val="18"/>
        </w:rPr>
        <w:t>S</w:t>
      </w:r>
      <w:r w:rsidRPr="00546921">
        <w:rPr>
          <w:rFonts w:ascii="Verdana" w:hAnsi="Verdana"/>
          <w:sz w:val="18"/>
          <w:szCs w:val="18"/>
        </w:rPr>
        <w:t xml:space="preserve">ection 1(1) definition of </w:t>
      </w:r>
      <w:r w:rsidR="00E5781D" w:rsidRPr="00546921">
        <w:rPr>
          <w:rFonts w:ascii="Verdana" w:hAnsi="Verdana"/>
          <w:sz w:val="18"/>
          <w:szCs w:val="18"/>
        </w:rPr>
        <w:t>‘</w:t>
      </w:r>
      <w:r w:rsidRPr="00546921">
        <w:rPr>
          <w:rFonts w:ascii="Verdana" w:hAnsi="Verdana"/>
          <w:sz w:val="18"/>
          <w:szCs w:val="18"/>
        </w:rPr>
        <w:t>gross income</w:t>
      </w:r>
      <w:r w:rsidR="00E5781D" w:rsidRPr="00546921">
        <w:rPr>
          <w:rFonts w:ascii="Verdana" w:hAnsi="Verdana"/>
          <w:sz w:val="18"/>
          <w:szCs w:val="18"/>
        </w:rPr>
        <w:t>’</w:t>
      </w:r>
      <w:r w:rsidRPr="00546921">
        <w:rPr>
          <w:rFonts w:ascii="Verdana" w:hAnsi="Verdana"/>
          <w:sz w:val="18"/>
          <w:szCs w:val="18"/>
        </w:rPr>
        <w:t xml:space="preserve"> paras </w:t>
      </w:r>
      <w:r w:rsidRPr="00546921">
        <w:rPr>
          <w:rFonts w:ascii="Verdana" w:hAnsi="Verdana"/>
          <w:i/>
          <w:sz w:val="18"/>
          <w:szCs w:val="18"/>
        </w:rPr>
        <w:t>(c)</w:t>
      </w:r>
      <w:r w:rsidRPr="00546921">
        <w:rPr>
          <w:rFonts w:ascii="Verdana" w:hAnsi="Verdana"/>
          <w:sz w:val="18"/>
          <w:szCs w:val="18"/>
        </w:rPr>
        <w:t xml:space="preserve">, </w:t>
      </w:r>
      <w:r w:rsidRPr="00546921">
        <w:rPr>
          <w:rFonts w:ascii="Verdana" w:hAnsi="Verdana"/>
          <w:i/>
          <w:sz w:val="18"/>
          <w:szCs w:val="18"/>
        </w:rPr>
        <w:t>(f)</w:t>
      </w:r>
      <w:r w:rsidRPr="00546921">
        <w:rPr>
          <w:rFonts w:ascii="Verdana" w:hAnsi="Verdana"/>
          <w:sz w:val="18"/>
          <w:szCs w:val="18"/>
        </w:rPr>
        <w:t xml:space="preserve"> and </w:t>
      </w:r>
      <w:r w:rsidRPr="00546921">
        <w:rPr>
          <w:rFonts w:ascii="Verdana" w:hAnsi="Verdana"/>
          <w:i/>
          <w:sz w:val="18"/>
          <w:szCs w:val="18"/>
        </w:rPr>
        <w:t>(</w:t>
      </w:r>
      <w:proofErr w:type="spellStart"/>
      <w:r w:rsidRPr="00546921">
        <w:rPr>
          <w:rFonts w:ascii="Verdana" w:hAnsi="Verdana"/>
          <w:i/>
          <w:sz w:val="18"/>
          <w:szCs w:val="18"/>
        </w:rPr>
        <w:t>i</w:t>
      </w:r>
      <w:proofErr w:type="spellEnd"/>
      <w:r w:rsidRPr="00546921">
        <w:rPr>
          <w:rFonts w:ascii="Verdana" w:hAnsi="Verdana"/>
          <w:i/>
          <w:sz w:val="18"/>
          <w:szCs w:val="18"/>
        </w:rPr>
        <w:t>)</w:t>
      </w:r>
      <w:r w:rsidRPr="00546921">
        <w:rPr>
          <w:rFonts w:ascii="Verdana" w:hAnsi="Verdana"/>
          <w:sz w:val="18"/>
          <w:szCs w:val="18"/>
        </w:rPr>
        <w:t xml:space="preserve"> </w:t>
      </w:r>
    </w:p>
    <w:p w:rsidR="00E5781D" w:rsidRPr="00546921" w:rsidRDefault="00E5781D" w:rsidP="00306829">
      <w:pPr>
        <w:overflowPunct/>
        <w:autoSpaceDE/>
        <w:autoSpaceDN/>
        <w:adjustRightInd/>
        <w:jc w:val="both"/>
        <w:textAlignment w:val="auto"/>
        <w:rPr>
          <w:rFonts w:ascii="Verdana" w:hAnsi="Verdana"/>
          <w:b/>
          <w:sz w:val="18"/>
          <w:szCs w:val="18"/>
        </w:rPr>
      </w:pPr>
    </w:p>
    <w:p w:rsidR="00EB234A" w:rsidRPr="00546921" w:rsidRDefault="00EB234A" w:rsidP="00306829">
      <w:pPr>
        <w:overflowPunct/>
        <w:autoSpaceDE/>
        <w:autoSpaceDN/>
        <w:adjustRightInd/>
        <w:jc w:val="both"/>
        <w:textAlignment w:val="auto"/>
        <w:rPr>
          <w:rFonts w:ascii="Verdana" w:hAnsi="Verdana"/>
          <w:sz w:val="18"/>
          <w:szCs w:val="18"/>
          <w:lang w:eastAsia="en-ZA"/>
        </w:rPr>
      </w:pPr>
      <w:r w:rsidRPr="00546921">
        <w:rPr>
          <w:rFonts w:ascii="Verdana" w:hAnsi="Verdana"/>
          <w:b/>
          <w:sz w:val="18"/>
          <w:szCs w:val="18"/>
        </w:rPr>
        <w:t xml:space="preserve">Executive summary: </w:t>
      </w:r>
      <w:r w:rsidRPr="00546921">
        <w:rPr>
          <w:rFonts w:ascii="Verdana" w:hAnsi="Verdana"/>
          <w:sz w:val="18"/>
          <w:szCs w:val="18"/>
        </w:rPr>
        <w:t>This ruling deals with the consequences for employees whose post retirement medical aid benefits will be cancelled and replaced with a once-off contribution to the employees’ pension fund.</w:t>
      </w:r>
    </w:p>
    <w:p w:rsidR="00EB234A" w:rsidRPr="00546921" w:rsidRDefault="00EB234A" w:rsidP="00306829">
      <w:pPr>
        <w:overflowPunct/>
        <w:autoSpaceDE/>
        <w:autoSpaceDN/>
        <w:adjustRightInd/>
        <w:jc w:val="both"/>
        <w:textAlignment w:val="auto"/>
        <w:rPr>
          <w:rFonts w:ascii="Verdana" w:hAnsi="Verdana"/>
          <w:sz w:val="18"/>
          <w:szCs w:val="18"/>
          <w:lang w:eastAsia="en-ZA"/>
        </w:rPr>
      </w:pPr>
    </w:p>
    <w:p w:rsidR="00EB234A" w:rsidRPr="00546921" w:rsidRDefault="00EB234A" w:rsidP="00306829">
      <w:pPr>
        <w:overflowPunct/>
        <w:autoSpaceDE/>
        <w:autoSpaceDN/>
        <w:adjustRightInd/>
        <w:jc w:val="both"/>
        <w:textAlignment w:val="auto"/>
        <w:rPr>
          <w:rFonts w:ascii="Verdana" w:hAnsi="Verdana"/>
          <w:sz w:val="18"/>
          <w:szCs w:val="18"/>
          <w:lang w:eastAsia="en-ZA"/>
        </w:rPr>
      </w:pPr>
    </w:p>
    <w:p w:rsidR="003F3E5A" w:rsidRPr="00E5781D" w:rsidRDefault="00DC7DDA" w:rsidP="00306829">
      <w:pPr>
        <w:overflowPunct/>
        <w:autoSpaceDE/>
        <w:autoSpaceDN/>
        <w:adjustRightInd/>
        <w:jc w:val="both"/>
        <w:textAlignment w:val="auto"/>
        <w:rPr>
          <w:rFonts w:ascii="Verdana" w:hAnsi="Verdana"/>
          <w:b/>
          <w:sz w:val="18"/>
          <w:szCs w:val="18"/>
        </w:rPr>
      </w:pPr>
      <w:r>
        <w:rPr>
          <w:rFonts w:ascii="Verdana" w:hAnsi="Verdana"/>
          <w:b/>
          <w:sz w:val="18"/>
          <w:szCs w:val="18"/>
        </w:rPr>
        <w:t>BINDING CLASS RULING 046</w:t>
      </w:r>
    </w:p>
    <w:p w:rsidR="003F3E5A" w:rsidRPr="00E5781D" w:rsidRDefault="003F3E5A" w:rsidP="00306829">
      <w:pPr>
        <w:overflowPunct/>
        <w:autoSpaceDE/>
        <w:autoSpaceDN/>
        <w:adjustRightInd/>
        <w:jc w:val="both"/>
        <w:textAlignment w:val="auto"/>
        <w:rPr>
          <w:rFonts w:ascii="Verdana" w:hAnsi="Verdana"/>
          <w:sz w:val="18"/>
          <w:szCs w:val="18"/>
        </w:rPr>
      </w:pPr>
      <w:r w:rsidRPr="00E5781D">
        <w:rPr>
          <w:rFonts w:ascii="Verdana" w:hAnsi="Verdana"/>
          <w:b/>
          <w:sz w:val="18"/>
          <w:szCs w:val="18"/>
        </w:rPr>
        <w:t>Effective date:</w:t>
      </w:r>
      <w:r w:rsidRPr="00E5781D">
        <w:rPr>
          <w:rFonts w:ascii="Verdana" w:hAnsi="Verdana"/>
          <w:sz w:val="18"/>
          <w:szCs w:val="18"/>
        </w:rPr>
        <w:t xml:space="preserve"> 16 April 2015 </w:t>
      </w:r>
    </w:p>
    <w:p w:rsidR="003F3E5A" w:rsidRPr="00E5781D" w:rsidRDefault="003F3E5A" w:rsidP="00306829">
      <w:pPr>
        <w:overflowPunct/>
        <w:autoSpaceDE/>
        <w:autoSpaceDN/>
        <w:adjustRightInd/>
        <w:jc w:val="both"/>
        <w:textAlignment w:val="auto"/>
        <w:rPr>
          <w:rFonts w:ascii="Verdana" w:hAnsi="Verdana"/>
          <w:sz w:val="18"/>
          <w:szCs w:val="18"/>
        </w:rPr>
      </w:pPr>
      <w:r w:rsidRPr="00E5781D">
        <w:rPr>
          <w:rFonts w:ascii="Verdana" w:hAnsi="Verdana"/>
          <w:sz w:val="18"/>
          <w:szCs w:val="18"/>
        </w:rPr>
        <w:t>Affected legislation: Income Tax Act 58 of 1962</w:t>
      </w:r>
    </w:p>
    <w:p w:rsidR="003F3E5A" w:rsidRPr="00E5781D" w:rsidRDefault="003F3E5A" w:rsidP="00306829">
      <w:pPr>
        <w:overflowPunct/>
        <w:autoSpaceDE/>
        <w:autoSpaceDN/>
        <w:adjustRightInd/>
        <w:jc w:val="both"/>
        <w:textAlignment w:val="auto"/>
        <w:rPr>
          <w:rFonts w:ascii="Verdana" w:hAnsi="Verdana"/>
          <w:sz w:val="18"/>
          <w:szCs w:val="18"/>
        </w:rPr>
      </w:pPr>
      <w:r w:rsidRPr="00E5781D">
        <w:rPr>
          <w:rFonts w:ascii="Verdana" w:hAnsi="Verdana"/>
          <w:b/>
          <w:sz w:val="18"/>
          <w:szCs w:val="18"/>
        </w:rPr>
        <w:t>Provisions:</w:t>
      </w:r>
      <w:r w:rsidR="00E5781D" w:rsidRPr="00E5781D">
        <w:rPr>
          <w:rFonts w:ascii="Verdana" w:hAnsi="Verdana"/>
          <w:sz w:val="18"/>
          <w:szCs w:val="18"/>
        </w:rPr>
        <w:t xml:space="preserve"> S</w:t>
      </w:r>
      <w:r w:rsidRPr="00E5781D">
        <w:rPr>
          <w:rFonts w:ascii="Verdana" w:hAnsi="Verdana"/>
          <w:sz w:val="18"/>
          <w:szCs w:val="18"/>
        </w:rPr>
        <w:t xml:space="preserve">ection 1(1), definition of </w:t>
      </w:r>
      <w:r w:rsidR="00E5781D" w:rsidRPr="00E5781D">
        <w:rPr>
          <w:rFonts w:ascii="Verdana" w:hAnsi="Verdana"/>
          <w:sz w:val="18"/>
          <w:szCs w:val="18"/>
        </w:rPr>
        <w:t>‘</w:t>
      </w:r>
      <w:r w:rsidRPr="00E5781D">
        <w:rPr>
          <w:rFonts w:ascii="Verdana" w:hAnsi="Verdana"/>
          <w:sz w:val="18"/>
          <w:szCs w:val="18"/>
        </w:rPr>
        <w:t>foreign dividend</w:t>
      </w:r>
      <w:r w:rsidR="00E5781D" w:rsidRPr="00E5781D">
        <w:rPr>
          <w:rFonts w:ascii="Verdana" w:hAnsi="Verdana"/>
          <w:sz w:val="18"/>
          <w:szCs w:val="18"/>
        </w:rPr>
        <w:t>’</w:t>
      </w:r>
      <w:r w:rsidRPr="00E5781D">
        <w:rPr>
          <w:rFonts w:ascii="Verdana" w:hAnsi="Verdana"/>
          <w:sz w:val="18"/>
          <w:szCs w:val="18"/>
        </w:rPr>
        <w:t xml:space="preserve"> </w:t>
      </w:r>
    </w:p>
    <w:p w:rsidR="00E5781D" w:rsidRPr="00E5781D" w:rsidRDefault="00E5781D" w:rsidP="00306829">
      <w:pPr>
        <w:overflowPunct/>
        <w:autoSpaceDE/>
        <w:autoSpaceDN/>
        <w:adjustRightInd/>
        <w:jc w:val="both"/>
        <w:textAlignment w:val="auto"/>
        <w:rPr>
          <w:rFonts w:ascii="Verdana" w:hAnsi="Verdana"/>
          <w:b/>
          <w:sz w:val="18"/>
          <w:szCs w:val="18"/>
        </w:rPr>
      </w:pPr>
    </w:p>
    <w:p w:rsidR="003F3E5A" w:rsidRPr="00E5781D" w:rsidRDefault="003F3E5A" w:rsidP="00306829">
      <w:pPr>
        <w:overflowPunct/>
        <w:autoSpaceDE/>
        <w:autoSpaceDN/>
        <w:adjustRightInd/>
        <w:jc w:val="both"/>
        <w:textAlignment w:val="auto"/>
        <w:rPr>
          <w:rFonts w:ascii="Verdana" w:hAnsi="Verdana"/>
          <w:sz w:val="18"/>
          <w:szCs w:val="18"/>
          <w:lang w:eastAsia="en-ZA"/>
        </w:rPr>
      </w:pPr>
      <w:r w:rsidRPr="00E5781D">
        <w:rPr>
          <w:rFonts w:ascii="Verdana" w:hAnsi="Verdana"/>
          <w:b/>
          <w:sz w:val="18"/>
          <w:szCs w:val="18"/>
        </w:rPr>
        <w:t xml:space="preserve">Executive summary: </w:t>
      </w:r>
      <w:r w:rsidRPr="00E5781D">
        <w:rPr>
          <w:rFonts w:ascii="Verdana" w:hAnsi="Verdana"/>
          <w:sz w:val="18"/>
          <w:szCs w:val="18"/>
        </w:rPr>
        <w:t>This ruling deals with dividends distributed by foreign companies and whether they will be foreign dividends as defined in s 1(1) of the Act.</w:t>
      </w:r>
    </w:p>
    <w:p w:rsidR="003F3E5A" w:rsidRPr="00E5781D" w:rsidRDefault="003F3E5A" w:rsidP="00306829">
      <w:pPr>
        <w:overflowPunct/>
        <w:autoSpaceDE/>
        <w:autoSpaceDN/>
        <w:adjustRightInd/>
        <w:jc w:val="both"/>
        <w:textAlignment w:val="auto"/>
        <w:rPr>
          <w:rFonts w:ascii="Verdana" w:hAnsi="Verdana"/>
          <w:sz w:val="18"/>
          <w:szCs w:val="18"/>
          <w:lang w:eastAsia="en-ZA"/>
        </w:rPr>
      </w:pPr>
    </w:p>
    <w:p w:rsidR="0029199C" w:rsidRPr="00E5781D" w:rsidRDefault="0029199C" w:rsidP="00306829">
      <w:pPr>
        <w:overflowPunct/>
        <w:autoSpaceDE/>
        <w:autoSpaceDN/>
        <w:adjustRightInd/>
        <w:jc w:val="both"/>
        <w:textAlignment w:val="auto"/>
        <w:rPr>
          <w:rFonts w:ascii="Verdana" w:hAnsi="Verdana"/>
          <w:sz w:val="18"/>
          <w:szCs w:val="18"/>
          <w:lang w:val="en-ZA" w:eastAsia="en-ZA"/>
        </w:rPr>
      </w:pPr>
    </w:p>
    <w:p w:rsidR="002F2E83" w:rsidRDefault="002F2E83" w:rsidP="004B321A">
      <w:pPr>
        <w:spacing w:line="240" w:lineRule="atLeast"/>
        <w:jc w:val="center"/>
        <w:rPr>
          <w:rFonts w:ascii="Verdana" w:hAnsi="Verdana"/>
          <w:b/>
          <w:i/>
          <w:color w:val="008080"/>
          <w:sz w:val="24"/>
          <w:szCs w:val="24"/>
        </w:rPr>
      </w:pPr>
    </w:p>
    <w:p w:rsidR="002F2E83" w:rsidRDefault="002F2E83" w:rsidP="004B321A">
      <w:pPr>
        <w:spacing w:line="240" w:lineRule="atLeast"/>
        <w:jc w:val="center"/>
        <w:rPr>
          <w:rFonts w:ascii="Verdana" w:hAnsi="Verdana"/>
          <w:b/>
          <w:i/>
          <w:color w:val="008080"/>
          <w:sz w:val="24"/>
          <w:szCs w:val="24"/>
        </w:rPr>
      </w:pPr>
    </w:p>
    <w:p w:rsidR="002F2E83" w:rsidRDefault="002F2E83" w:rsidP="004B321A">
      <w:pPr>
        <w:spacing w:line="240" w:lineRule="atLeast"/>
        <w:jc w:val="center"/>
        <w:rPr>
          <w:rFonts w:ascii="Verdana" w:hAnsi="Verdana"/>
          <w:b/>
          <w:i/>
          <w:color w:val="008080"/>
          <w:sz w:val="24"/>
          <w:szCs w:val="24"/>
        </w:rPr>
      </w:pPr>
    </w:p>
    <w:p w:rsidR="004B321A" w:rsidRDefault="004B321A" w:rsidP="004B321A">
      <w:pPr>
        <w:spacing w:line="240" w:lineRule="atLeast"/>
        <w:jc w:val="center"/>
        <w:rPr>
          <w:rFonts w:ascii="Verdana" w:hAnsi="Verdana"/>
          <w:b/>
          <w:i/>
          <w:color w:val="008080"/>
          <w:sz w:val="24"/>
          <w:szCs w:val="24"/>
        </w:rPr>
      </w:pPr>
      <w:r>
        <w:rPr>
          <w:rFonts w:ascii="Verdana" w:hAnsi="Verdana"/>
          <w:b/>
          <w:i/>
          <w:color w:val="008080"/>
          <w:sz w:val="24"/>
          <w:szCs w:val="24"/>
        </w:rPr>
        <w:t>BINDING PRIVATE RULINGS</w:t>
      </w:r>
    </w:p>
    <w:p w:rsidR="00EB234A" w:rsidRDefault="00EB234A" w:rsidP="00306829">
      <w:pPr>
        <w:overflowPunct/>
        <w:autoSpaceDE/>
        <w:autoSpaceDN/>
        <w:adjustRightInd/>
        <w:jc w:val="center"/>
        <w:textAlignment w:val="auto"/>
        <w:rPr>
          <w:rFonts w:ascii="Verdana" w:hAnsi="Verdana"/>
          <w:b/>
          <w:color w:val="00B0F0"/>
          <w:sz w:val="10"/>
          <w:szCs w:val="10"/>
          <w:lang w:val="en-ZA" w:eastAsia="en-ZA"/>
        </w:rPr>
      </w:pPr>
    </w:p>
    <w:p w:rsidR="00EB234A" w:rsidRPr="00306829" w:rsidRDefault="00EB234A" w:rsidP="00306829">
      <w:pPr>
        <w:overflowPunct/>
        <w:autoSpaceDE/>
        <w:autoSpaceDN/>
        <w:adjustRightInd/>
        <w:jc w:val="center"/>
        <w:textAlignment w:val="auto"/>
        <w:rPr>
          <w:rFonts w:ascii="Verdana" w:hAnsi="Verdana"/>
          <w:b/>
          <w:color w:val="00B0F0"/>
          <w:sz w:val="10"/>
          <w:szCs w:val="10"/>
          <w:lang w:val="en-ZA" w:eastAsia="en-ZA"/>
        </w:rPr>
      </w:pPr>
    </w:p>
    <w:p w:rsidR="00203DD3" w:rsidRDefault="00203DD3" w:rsidP="00306829">
      <w:pPr>
        <w:overflowPunct/>
        <w:autoSpaceDE/>
        <w:autoSpaceDN/>
        <w:adjustRightInd/>
        <w:jc w:val="both"/>
        <w:textAlignment w:val="auto"/>
        <w:rPr>
          <w:rFonts w:ascii="Verdana" w:hAnsi="Verdana"/>
          <w:b/>
          <w:sz w:val="18"/>
          <w:szCs w:val="18"/>
          <w:lang w:val="en-ZA" w:eastAsia="en-ZA"/>
        </w:rPr>
      </w:pPr>
    </w:p>
    <w:p w:rsidR="001A3CBD" w:rsidRPr="00546921" w:rsidRDefault="003307AC" w:rsidP="00306829">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BINDING PRIVATE RULING </w:t>
      </w:r>
      <w:r w:rsidR="00DC7DDA">
        <w:rPr>
          <w:rFonts w:ascii="Verdana" w:hAnsi="Verdana"/>
          <w:b/>
          <w:sz w:val="18"/>
          <w:szCs w:val="18"/>
        </w:rPr>
        <w:t>190</w:t>
      </w:r>
    </w:p>
    <w:p w:rsidR="001A3CBD"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00E24483" w:rsidRPr="00546921">
        <w:rPr>
          <w:rFonts w:ascii="Verdana" w:hAnsi="Verdana"/>
          <w:sz w:val="18"/>
          <w:szCs w:val="18"/>
        </w:rPr>
        <w:t xml:space="preserve"> 9 March 2015 </w:t>
      </w:r>
    </w:p>
    <w:p w:rsidR="001A3CBD"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 xml:space="preserve">Income Tax Act 58 of 1962 (the Act); the Securities Transfer Tax Act 25 of 2007 (the STT Act) </w:t>
      </w:r>
    </w:p>
    <w:p w:rsidR="001A3CBD"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104AB5" w:rsidRPr="00546921">
        <w:rPr>
          <w:rFonts w:ascii="Verdana" w:hAnsi="Verdana"/>
          <w:sz w:val="18"/>
          <w:szCs w:val="18"/>
        </w:rPr>
        <w:t>S</w:t>
      </w:r>
      <w:r w:rsidRPr="00546921">
        <w:rPr>
          <w:rFonts w:ascii="Verdana" w:hAnsi="Verdana"/>
          <w:sz w:val="18"/>
          <w:szCs w:val="18"/>
        </w:rPr>
        <w:t>ectio</w:t>
      </w:r>
      <w:r w:rsidR="00104AB5" w:rsidRPr="00546921">
        <w:rPr>
          <w:rFonts w:ascii="Verdana" w:hAnsi="Verdana"/>
          <w:sz w:val="18"/>
          <w:szCs w:val="18"/>
        </w:rPr>
        <w:t>n 24J and para</w:t>
      </w:r>
      <w:r w:rsidRPr="00546921">
        <w:rPr>
          <w:rFonts w:ascii="Verdana" w:hAnsi="Verdana"/>
          <w:sz w:val="18"/>
          <w:szCs w:val="18"/>
        </w:rPr>
        <w:t>s 11(1</w:t>
      </w:r>
      <w:proofErr w:type="gramStart"/>
      <w:r w:rsidRPr="00546921">
        <w:rPr>
          <w:rFonts w:ascii="Verdana" w:hAnsi="Verdana"/>
          <w:sz w:val="18"/>
          <w:szCs w:val="18"/>
        </w:rPr>
        <w:t>)</w:t>
      </w:r>
      <w:r w:rsidRPr="00546921">
        <w:rPr>
          <w:rFonts w:ascii="Verdana" w:hAnsi="Verdana"/>
          <w:i/>
          <w:sz w:val="18"/>
          <w:szCs w:val="18"/>
        </w:rPr>
        <w:t>(</w:t>
      </w:r>
      <w:proofErr w:type="gramEnd"/>
      <w:r w:rsidRPr="00546921">
        <w:rPr>
          <w:rFonts w:ascii="Verdana" w:hAnsi="Verdana"/>
          <w:i/>
          <w:sz w:val="18"/>
          <w:szCs w:val="18"/>
        </w:rPr>
        <w:t>a)</w:t>
      </w:r>
      <w:r w:rsidRPr="00546921">
        <w:rPr>
          <w:rFonts w:ascii="Verdana" w:hAnsi="Verdana"/>
          <w:sz w:val="18"/>
          <w:szCs w:val="18"/>
        </w:rPr>
        <w:t xml:space="preserve"> and 35 of the Eighth Schedul</w:t>
      </w:r>
      <w:r w:rsidR="00F21594" w:rsidRPr="00546921">
        <w:rPr>
          <w:rFonts w:ascii="Verdana" w:hAnsi="Verdana"/>
          <w:sz w:val="18"/>
          <w:szCs w:val="18"/>
        </w:rPr>
        <w:t>e to the Income Tax Act; s</w:t>
      </w:r>
      <w:r w:rsidRPr="00546921">
        <w:rPr>
          <w:rFonts w:ascii="Verdana" w:hAnsi="Verdana"/>
          <w:sz w:val="18"/>
          <w:szCs w:val="18"/>
        </w:rPr>
        <w:t xml:space="preserve"> 1 of the Securities Transfer Tax Act, definition of </w:t>
      </w:r>
      <w:r w:rsidR="00104AB5" w:rsidRPr="00546921">
        <w:rPr>
          <w:rFonts w:ascii="Verdana" w:hAnsi="Verdana"/>
          <w:sz w:val="18"/>
          <w:szCs w:val="18"/>
        </w:rPr>
        <w:t>‘</w:t>
      </w:r>
      <w:r w:rsidRPr="00546921">
        <w:rPr>
          <w:rFonts w:ascii="Verdana" w:hAnsi="Verdana"/>
          <w:sz w:val="18"/>
          <w:szCs w:val="18"/>
        </w:rPr>
        <w:t>transfer</w:t>
      </w:r>
      <w:r w:rsidR="00104AB5" w:rsidRPr="00546921">
        <w:rPr>
          <w:rFonts w:ascii="Verdana" w:hAnsi="Verdana"/>
          <w:sz w:val="18"/>
          <w:szCs w:val="18"/>
        </w:rPr>
        <w:t>’</w:t>
      </w:r>
      <w:r w:rsidRPr="00546921">
        <w:rPr>
          <w:rFonts w:ascii="Verdana" w:hAnsi="Verdana"/>
          <w:sz w:val="18"/>
          <w:szCs w:val="18"/>
        </w:rPr>
        <w:t xml:space="preserve"> </w:t>
      </w:r>
    </w:p>
    <w:p w:rsidR="00104AB5" w:rsidRPr="00546921" w:rsidRDefault="00104AB5" w:rsidP="00306829">
      <w:pPr>
        <w:overflowPunct/>
        <w:autoSpaceDE/>
        <w:autoSpaceDN/>
        <w:adjustRightInd/>
        <w:jc w:val="both"/>
        <w:textAlignment w:val="auto"/>
        <w:rPr>
          <w:rFonts w:ascii="Verdana" w:hAnsi="Verdana"/>
          <w:b/>
          <w:sz w:val="18"/>
          <w:szCs w:val="18"/>
        </w:rPr>
      </w:pPr>
    </w:p>
    <w:p w:rsidR="00E2448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Executive summary:</w:t>
      </w:r>
      <w:r w:rsidR="00E24483" w:rsidRPr="00546921">
        <w:rPr>
          <w:rFonts w:ascii="Verdana" w:hAnsi="Verdana"/>
          <w:sz w:val="18"/>
          <w:szCs w:val="18"/>
        </w:rPr>
        <w:t xml:space="preserve"> This ruling deals with the issue and repurchase of ordinary shares. The proposed arrangement is based on contractual rights and restrictions established separately from any class provisions applicable to those</w:t>
      </w:r>
      <w:r w:rsidR="001C2624" w:rsidRPr="00546921">
        <w:rPr>
          <w:rFonts w:ascii="Verdana" w:hAnsi="Verdana"/>
          <w:sz w:val="18"/>
          <w:szCs w:val="18"/>
        </w:rPr>
        <w:t xml:space="preserve"> shares in terms of the Applicant </w:t>
      </w:r>
      <w:proofErr w:type="gramStart"/>
      <w:r w:rsidR="001C2624" w:rsidRPr="00546921">
        <w:rPr>
          <w:rFonts w:ascii="Verdana" w:hAnsi="Verdana"/>
          <w:sz w:val="18"/>
          <w:szCs w:val="18"/>
        </w:rPr>
        <w:t>company’s</w:t>
      </w:r>
      <w:proofErr w:type="gramEnd"/>
      <w:r w:rsidR="001C2624" w:rsidRPr="00546921">
        <w:rPr>
          <w:rFonts w:ascii="Verdana" w:hAnsi="Verdana"/>
          <w:sz w:val="18"/>
          <w:szCs w:val="18"/>
        </w:rPr>
        <w:t xml:space="preserve"> memorandum of incorporation.</w:t>
      </w:r>
    </w:p>
    <w:p w:rsidR="00623D6A" w:rsidRPr="00546921" w:rsidRDefault="00623D6A" w:rsidP="00623D6A">
      <w:pPr>
        <w:overflowPunct/>
        <w:autoSpaceDE/>
        <w:autoSpaceDN/>
        <w:adjustRightInd/>
        <w:jc w:val="both"/>
        <w:textAlignment w:val="auto"/>
        <w:rPr>
          <w:rFonts w:ascii="Verdana" w:hAnsi="Verdana"/>
          <w:b/>
          <w:sz w:val="18"/>
          <w:szCs w:val="18"/>
        </w:rPr>
      </w:pPr>
    </w:p>
    <w:p w:rsidR="001C2624" w:rsidRPr="00546921" w:rsidRDefault="001C2624" w:rsidP="00306829">
      <w:pPr>
        <w:overflowPunct/>
        <w:autoSpaceDE/>
        <w:autoSpaceDN/>
        <w:adjustRightInd/>
        <w:jc w:val="both"/>
        <w:textAlignment w:val="auto"/>
        <w:rPr>
          <w:rFonts w:ascii="Verdana" w:hAnsi="Verdana"/>
          <w:sz w:val="18"/>
          <w:szCs w:val="18"/>
        </w:rPr>
      </w:pPr>
    </w:p>
    <w:p w:rsidR="00203DD3" w:rsidRPr="00546921" w:rsidRDefault="00F21594" w:rsidP="00306829">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BINDING PRIVATE RULING </w:t>
      </w:r>
      <w:r w:rsidR="00DC7DDA">
        <w:rPr>
          <w:rFonts w:ascii="Verdana" w:hAnsi="Verdana"/>
          <w:b/>
          <w:sz w:val="18"/>
          <w:szCs w:val="18"/>
        </w:rPr>
        <w:t>191</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00CF1FB8" w:rsidRPr="00546921">
        <w:rPr>
          <w:rFonts w:ascii="Verdana" w:hAnsi="Verdana"/>
          <w:sz w:val="18"/>
          <w:szCs w:val="18"/>
        </w:rPr>
        <w:t xml:space="preserve"> 26 March 2015 </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Affected legislation:</w:t>
      </w:r>
      <w:r w:rsidR="00104AB5" w:rsidRPr="00546921">
        <w:rPr>
          <w:rFonts w:ascii="Verdana" w:hAnsi="Verdana"/>
          <w:sz w:val="18"/>
          <w:szCs w:val="18"/>
        </w:rPr>
        <w:t xml:space="preserve"> Income Tax Act 58 of 1962</w:t>
      </w:r>
    </w:p>
    <w:p w:rsidR="00623D6A"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104AB5" w:rsidRPr="00546921">
        <w:rPr>
          <w:rFonts w:ascii="Verdana" w:hAnsi="Verdana"/>
          <w:sz w:val="18"/>
          <w:szCs w:val="18"/>
        </w:rPr>
        <w:t>S</w:t>
      </w:r>
      <w:r w:rsidRPr="00546921">
        <w:rPr>
          <w:rFonts w:ascii="Verdana" w:hAnsi="Verdana"/>
          <w:sz w:val="18"/>
          <w:szCs w:val="18"/>
        </w:rPr>
        <w:t>ections</w:t>
      </w:r>
      <w:r w:rsidR="00CF1FB8" w:rsidRPr="00546921">
        <w:rPr>
          <w:rFonts w:ascii="Verdana" w:hAnsi="Verdana"/>
          <w:sz w:val="18"/>
          <w:szCs w:val="18"/>
        </w:rPr>
        <w:t xml:space="preserve"> 8E, 8EA, 19 </w:t>
      </w:r>
      <w:r w:rsidRPr="00546921">
        <w:rPr>
          <w:rFonts w:ascii="Verdana" w:hAnsi="Verdana"/>
          <w:sz w:val="18"/>
          <w:szCs w:val="18"/>
        </w:rPr>
        <w:t xml:space="preserve">and para </w:t>
      </w:r>
      <w:r w:rsidR="00CF1FB8" w:rsidRPr="00546921">
        <w:rPr>
          <w:rFonts w:ascii="Verdana" w:hAnsi="Verdana"/>
          <w:sz w:val="18"/>
          <w:szCs w:val="18"/>
        </w:rPr>
        <w:t xml:space="preserve">12A </w:t>
      </w:r>
      <w:r w:rsidRPr="00546921">
        <w:rPr>
          <w:rFonts w:ascii="Verdana" w:hAnsi="Verdana"/>
          <w:sz w:val="18"/>
          <w:szCs w:val="18"/>
        </w:rPr>
        <w:t>of</w:t>
      </w:r>
      <w:r w:rsidR="00104AB5" w:rsidRPr="00546921">
        <w:rPr>
          <w:rFonts w:ascii="Verdana" w:hAnsi="Verdana"/>
          <w:sz w:val="18"/>
          <w:szCs w:val="18"/>
        </w:rPr>
        <w:t xml:space="preserve"> the Eighth Schedule to the Act</w:t>
      </w:r>
    </w:p>
    <w:p w:rsidR="00104AB5" w:rsidRPr="00546921" w:rsidRDefault="00104AB5" w:rsidP="00306829">
      <w:pPr>
        <w:overflowPunct/>
        <w:autoSpaceDE/>
        <w:autoSpaceDN/>
        <w:adjustRightInd/>
        <w:jc w:val="both"/>
        <w:textAlignment w:val="auto"/>
        <w:rPr>
          <w:rFonts w:ascii="Verdana" w:hAnsi="Verdana"/>
          <w:b/>
          <w:sz w:val="18"/>
          <w:szCs w:val="18"/>
        </w:rPr>
      </w:pPr>
    </w:p>
    <w:p w:rsidR="00E2448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Executive summary: </w:t>
      </w:r>
      <w:r w:rsidR="00CF1FB8" w:rsidRPr="00546921">
        <w:rPr>
          <w:rFonts w:ascii="Verdana" w:hAnsi="Verdana"/>
          <w:sz w:val="18"/>
          <w:szCs w:val="18"/>
        </w:rPr>
        <w:t>This ruling deals with the refinancing of current debt through preference share funding.</w:t>
      </w:r>
    </w:p>
    <w:p w:rsidR="00CF1FB8" w:rsidRPr="00546921" w:rsidRDefault="00CF1FB8" w:rsidP="00306829">
      <w:pPr>
        <w:overflowPunct/>
        <w:autoSpaceDE/>
        <w:autoSpaceDN/>
        <w:adjustRightInd/>
        <w:jc w:val="both"/>
        <w:textAlignment w:val="auto"/>
        <w:rPr>
          <w:rFonts w:ascii="Verdana" w:hAnsi="Verdana"/>
          <w:sz w:val="18"/>
          <w:szCs w:val="18"/>
        </w:rPr>
      </w:pPr>
    </w:p>
    <w:p w:rsidR="00623D6A" w:rsidRPr="00546921" w:rsidRDefault="00623D6A" w:rsidP="00306829">
      <w:pPr>
        <w:overflowPunct/>
        <w:autoSpaceDE/>
        <w:autoSpaceDN/>
        <w:adjustRightInd/>
        <w:jc w:val="both"/>
        <w:textAlignment w:val="auto"/>
        <w:rPr>
          <w:rFonts w:ascii="Verdana" w:hAnsi="Verdana"/>
          <w:sz w:val="18"/>
          <w:szCs w:val="18"/>
        </w:rPr>
      </w:pPr>
    </w:p>
    <w:p w:rsidR="00203DD3" w:rsidRPr="00546921" w:rsidRDefault="00623D6A" w:rsidP="00306829">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BINDING PRIVATE RULING </w:t>
      </w:r>
      <w:r w:rsidR="00CF1FB8" w:rsidRPr="00546921">
        <w:rPr>
          <w:rFonts w:ascii="Verdana" w:hAnsi="Verdana"/>
          <w:b/>
          <w:sz w:val="18"/>
          <w:szCs w:val="18"/>
        </w:rPr>
        <w:t xml:space="preserve">192 </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00CF1FB8" w:rsidRPr="00546921">
        <w:rPr>
          <w:rFonts w:ascii="Verdana" w:hAnsi="Verdana"/>
          <w:sz w:val="18"/>
          <w:szCs w:val="18"/>
        </w:rPr>
        <w:t xml:space="preserve">28 May 2015 </w:t>
      </w:r>
    </w:p>
    <w:p w:rsidR="00203DD3" w:rsidRPr="00104AB5"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00104AB5" w:rsidRPr="00546921">
        <w:rPr>
          <w:rFonts w:ascii="Verdana" w:hAnsi="Verdana"/>
          <w:sz w:val="18"/>
          <w:szCs w:val="18"/>
        </w:rPr>
        <w:t>Income Tax Act 58 of 1962</w:t>
      </w:r>
    </w:p>
    <w:p w:rsidR="00203DD3" w:rsidRPr="00104AB5" w:rsidRDefault="00623D6A" w:rsidP="00306829">
      <w:pPr>
        <w:overflowPunct/>
        <w:autoSpaceDE/>
        <w:autoSpaceDN/>
        <w:adjustRightInd/>
        <w:jc w:val="both"/>
        <w:textAlignment w:val="auto"/>
        <w:rPr>
          <w:rFonts w:ascii="Verdana" w:hAnsi="Verdana"/>
          <w:sz w:val="18"/>
          <w:szCs w:val="18"/>
        </w:rPr>
      </w:pPr>
      <w:r w:rsidRPr="00104AB5">
        <w:rPr>
          <w:rFonts w:ascii="Verdana" w:hAnsi="Verdana"/>
          <w:b/>
          <w:sz w:val="18"/>
          <w:szCs w:val="18"/>
        </w:rPr>
        <w:t xml:space="preserve">Provisions: </w:t>
      </w:r>
      <w:r w:rsidR="00104AB5" w:rsidRPr="00104AB5">
        <w:rPr>
          <w:rFonts w:ascii="Verdana" w:hAnsi="Verdana"/>
          <w:sz w:val="18"/>
          <w:szCs w:val="18"/>
        </w:rPr>
        <w:t>S</w:t>
      </w:r>
      <w:r w:rsidRPr="00104AB5">
        <w:rPr>
          <w:rFonts w:ascii="Verdana" w:hAnsi="Verdana"/>
          <w:sz w:val="18"/>
          <w:szCs w:val="18"/>
        </w:rPr>
        <w:t>ection</w:t>
      </w:r>
      <w:r w:rsidR="00CF1FB8" w:rsidRPr="00104AB5">
        <w:rPr>
          <w:rFonts w:ascii="Verdana" w:hAnsi="Verdana"/>
          <w:sz w:val="18"/>
          <w:szCs w:val="18"/>
        </w:rPr>
        <w:t xml:space="preserve"> 31 </w:t>
      </w:r>
      <w:r w:rsidR="00104AB5" w:rsidRPr="00104AB5">
        <w:rPr>
          <w:rFonts w:ascii="Verdana" w:hAnsi="Verdana"/>
          <w:sz w:val="18"/>
          <w:szCs w:val="18"/>
        </w:rPr>
        <w:t>and s</w:t>
      </w:r>
      <w:r w:rsidR="00CF1FB8" w:rsidRPr="00104AB5">
        <w:rPr>
          <w:rFonts w:ascii="Verdana" w:hAnsi="Verdana"/>
          <w:sz w:val="18"/>
          <w:szCs w:val="18"/>
        </w:rPr>
        <w:t xml:space="preserve"> 50B </w:t>
      </w:r>
      <w:r w:rsidR="00104AB5" w:rsidRPr="00104AB5">
        <w:rPr>
          <w:rFonts w:ascii="Verdana" w:hAnsi="Verdana"/>
          <w:sz w:val="18"/>
          <w:szCs w:val="18"/>
        </w:rPr>
        <w:t>read with s</w:t>
      </w:r>
      <w:r w:rsidRPr="00104AB5">
        <w:rPr>
          <w:rFonts w:ascii="Verdana" w:hAnsi="Verdana"/>
          <w:sz w:val="18"/>
          <w:szCs w:val="18"/>
        </w:rPr>
        <w:t xml:space="preserve"> </w:t>
      </w:r>
      <w:r w:rsidR="00CF1FB8" w:rsidRPr="00104AB5">
        <w:rPr>
          <w:rFonts w:ascii="Verdana" w:hAnsi="Verdana"/>
          <w:sz w:val="18"/>
          <w:szCs w:val="18"/>
        </w:rPr>
        <w:t xml:space="preserve">50E </w:t>
      </w:r>
    </w:p>
    <w:p w:rsidR="00104AB5" w:rsidRPr="00104AB5" w:rsidRDefault="00104AB5" w:rsidP="00306829">
      <w:pPr>
        <w:overflowPunct/>
        <w:autoSpaceDE/>
        <w:autoSpaceDN/>
        <w:adjustRightInd/>
        <w:jc w:val="both"/>
        <w:textAlignment w:val="auto"/>
        <w:rPr>
          <w:rFonts w:ascii="Verdana" w:hAnsi="Verdana"/>
          <w:b/>
          <w:sz w:val="18"/>
          <w:szCs w:val="18"/>
        </w:rPr>
      </w:pPr>
    </w:p>
    <w:p w:rsidR="00CF1FB8" w:rsidRPr="00104AB5" w:rsidRDefault="00623D6A" w:rsidP="00306829">
      <w:pPr>
        <w:overflowPunct/>
        <w:autoSpaceDE/>
        <w:autoSpaceDN/>
        <w:adjustRightInd/>
        <w:jc w:val="both"/>
        <w:textAlignment w:val="auto"/>
        <w:rPr>
          <w:rFonts w:ascii="Verdana" w:hAnsi="Verdana"/>
          <w:sz w:val="18"/>
          <w:szCs w:val="18"/>
        </w:rPr>
      </w:pPr>
      <w:r w:rsidRPr="00104AB5">
        <w:rPr>
          <w:rFonts w:ascii="Verdana" w:hAnsi="Verdana"/>
          <w:b/>
          <w:sz w:val="18"/>
          <w:szCs w:val="18"/>
        </w:rPr>
        <w:t xml:space="preserve">Executive summary: </w:t>
      </w:r>
      <w:r w:rsidR="00CF1FB8" w:rsidRPr="00104AB5">
        <w:rPr>
          <w:rFonts w:ascii="Verdana" w:hAnsi="Verdana"/>
          <w:sz w:val="18"/>
          <w:szCs w:val="18"/>
        </w:rPr>
        <w:t>This ruling deals with the question as to whether an adjustment made to taxable inc</w:t>
      </w:r>
      <w:r w:rsidR="00104AB5" w:rsidRPr="00104AB5">
        <w:rPr>
          <w:rFonts w:ascii="Verdana" w:hAnsi="Verdana"/>
          <w:sz w:val="18"/>
          <w:szCs w:val="18"/>
        </w:rPr>
        <w:t>ome or tax payable under s</w:t>
      </w:r>
      <w:r w:rsidR="00CF1FB8" w:rsidRPr="00104AB5">
        <w:rPr>
          <w:rFonts w:ascii="Verdana" w:hAnsi="Verdana"/>
          <w:sz w:val="18"/>
          <w:szCs w:val="18"/>
        </w:rPr>
        <w:t xml:space="preserve"> 31 can trigger withholding tax </w:t>
      </w:r>
      <w:r w:rsidR="00104AB5" w:rsidRPr="00104AB5">
        <w:rPr>
          <w:rFonts w:ascii="Verdana" w:hAnsi="Verdana"/>
          <w:sz w:val="18"/>
          <w:szCs w:val="18"/>
        </w:rPr>
        <w:t>on interest levied under s 50B read with s</w:t>
      </w:r>
      <w:r w:rsidR="00CF1FB8" w:rsidRPr="00104AB5">
        <w:rPr>
          <w:rFonts w:ascii="Verdana" w:hAnsi="Verdana"/>
          <w:sz w:val="18"/>
          <w:szCs w:val="18"/>
        </w:rPr>
        <w:t xml:space="preserve"> 50E of the Act.</w:t>
      </w:r>
    </w:p>
    <w:p w:rsidR="00E24483" w:rsidRPr="00D20CDD" w:rsidRDefault="00E24483" w:rsidP="00306829">
      <w:pPr>
        <w:overflowPunct/>
        <w:autoSpaceDE/>
        <w:autoSpaceDN/>
        <w:adjustRightInd/>
        <w:jc w:val="both"/>
        <w:textAlignment w:val="auto"/>
        <w:rPr>
          <w:rFonts w:ascii="Verdana" w:hAnsi="Verdana"/>
          <w:b/>
          <w:sz w:val="18"/>
          <w:szCs w:val="18"/>
          <w:lang w:val="en-ZA" w:eastAsia="en-ZA"/>
        </w:rPr>
      </w:pPr>
    </w:p>
    <w:p w:rsidR="00F332E8" w:rsidRPr="00D20CDD" w:rsidRDefault="00F332E8" w:rsidP="00306829">
      <w:pPr>
        <w:overflowPunct/>
        <w:autoSpaceDE/>
        <w:autoSpaceDN/>
        <w:adjustRightInd/>
        <w:jc w:val="both"/>
        <w:textAlignment w:val="auto"/>
        <w:rPr>
          <w:rFonts w:ascii="Verdana" w:hAnsi="Verdana"/>
          <w:b/>
          <w:sz w:val="18"/>
          <w:szCs w:val="18"/>
          <w:lang w:val="en-ZA" w:eastAsia="en-ZA"/>
        </w:rPr>
      </w:pPr>
    </w:p>
    <w:p w:rsidR="00203DD3" w:rsidRPr="00546921" w:rsidRDefault="00F332E8" w:rsidP="00306829">
      <w:pPr>
        <w:overflowPunct/>
        <w:autoSpaceDE/>
        <w:autoSpaceDN/>
        <w:adjustRightInd/>
        <w:jc w:val="both"/>
        <w:textAlignment w:val="auto"/>
        <w:rPr>
          <w:rFonts w:ascii="Verdana" w:hAnsi="Verdana"/>
          <w:b/>
          <w:sz w:val="18"/>
          <w:szCs w:val="18"/>
        </w:rPr>
      </w:pPr>
      <w:r w:rsidRPr="00546921">
        <w:rPr>
          <w:rFonts w:ascii="Verdana" w:hAnsi="Verdana"/>
          <w:b/>
          <w:sz w:val="18"/>
          <w:szCs w:val="18"/>
        </w:rPr>
        <w:t>BINDING</w:t>
      </w:r>
      <w:r w:rsidR="00623D6A" w:rsidRPr="00546921">
        <w:rPr>
          <w:rFonts w:ascii="Verdana" w:hAnsi="Verdana"/>
          <w:b/>
          <w:sz w:val="18"/>
          <w:szCs w:val="18"/>
        </w:rPr>
        <w:t xml:space="preserve"> PRIVATE RULING </w:t>
      </w:r>
      <w:r w:rsidRPr="00546921">
        <w:rPr>
          <w:rFonts w:ascii="Verdana" w:hAnsi="Verdana"/>
          <w:b/>
          <w:sz w:val="18"/>
          <w:szCs w:val="18"/>
        </w:rPr>
        <w:t xml:space="preserve">193 </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00F332E8" w:rsidRPr="00546921">
        <w:rPr>
          <w:rFonts w:ascii="Verdana" w:hAnsi="Verdana"/>
          <w:sz w:val="18"/>
          <w:szCs w:val="18"/>
        </w:rPr>
        <w:t xml:space="preserve"> 15 June 2015 </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00D20CDD" w:rsidRPr="00546921">
        <w:rPr>
          <w:rFonts w:ascii="Verdana" w:hAnsi="Verdana"/>
          <w:sz w:val="18"/>
          <w:szCs w:val="18"/>
        </w:rPr>
        <w:t>Income Tax Act 58 of 1962</w:t>
      </w:r>
      <w:r w:rsidR="00F332E8" w:rsidRPr="00546921">
        <w:rPr>
          <w:rFonts w:ascii="Verdana" w:hAnsi="Verdana"/>
          <w:sz w:val="18"/>
          <w:szCs w:val="18"/>
        </w:rPr>
        <w:t xml:space="preserve"> </w:t>
      </w:r>
    </w:p>
    <w:p w:rsidR="00D20CDD"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D20CDD" w:rsidRPr="00546921">
        <w:rPr>
          <w:rFonts w:ascii="Verdana" w:hAnsi="Verdana"/>
          <w:sz w:val="18"/>
          <w:szCs w:val="18"/>
        </w:rPr>
        <w:t>S</w:t>
      </w:r>
      <w:r w:rsidRPr="00546921">
        <w:rPr>
          <w:rFonts w:ascii="Verdana" w:hAnsi="Verdana"/>
          <w:sz w:val="18"/>
          <w:szCs w:val="18"/>
        </w:rPr>
        <w:t xml:space="preserve">ection 19 and in particular the definition of </w:t>
      </w:r>
      <w:r w:rsidR="00D20CDD" w:rsidRPr="00546921">
        <w:rPr>
          <w:rFonts w:ascii="Verdana" w:hAnsi="Verdana"/>
          <w:sz w:val="18"/>
          <w:szCs w:val="18"/>
        </w:rPr>
        <w:t>‘reduction amount’ and para</w:t>
      </w:r>
      <w:r w:rsidRPr="00546921">
        <w:rPr>
          <w:rFonts w:ascii="Verdana" w:hAnsi="Verdana"/>
          <w:sz w:val="18"/>
          <w:szCs w:val="18"/>
        </w:rPr>
        <w:t>s 12A and 20(3</w:t>
      </w:r>
      <w:proofErr w:type="gramStart"/>
      <w:r w:rsidRPr="00546921">
        <w:rPr>
          <w:rFonts w:ascii="Verdana" w:hAnsi="Verdana"/>
          <w:sz w:val="18"/>
          <w:szCs w:val="18"/>
        </w:rPr>
        <w:t>)</w:t>
      </w:r>
      <w:r w:rsidRPr="00546921">
        <w:rPr>
          <w:rFonts w:ascii="Verdana" w:hAnsi="Verdana"/>
          <w:i/>
          <w:sz w:val="18"/>
          <w:szCs w:val="18"/>
        </w:rPr>
        <w:t>(</w:t>
      </w:r>
      <w:proofErr w:type="gramEnd"/>
      <w:r w:rsidRPr="00546921">
        <w:rPr>
          <w:rFonts w:ascii="Verdana" w:hAnsi="Verdana"/>
          <w:i/>
          <w:sz w:val="18"/>
          <w:szCs w:val="18"/>
        </w:rPr>
        <w:t>b)</w:t>
      </w:r>
      <w:r w:rsidRPr="00546921">
        <w:rPr>
          <w:rFonts w:ascii="Verdana" w:hAnsi="Verdana"/>
          <w:sz w:val="18"/>
          <w:szCs w:val="18"/>
        </w:rPr>
        <w:t xml:space="preserve"> of</w:t>
      </w:r>
      <w:r w:rsidR="00D20CDD" w:rsidRPr="00546921">
        <w:rPr>
          <w:rFonts w:ascii="Verdana" w:hAnsi="Verdana"/>
          <w:sz w:val="18"/>
          <w:szCs w:val="18"/>
        </w:rPr>
        <w:t xml:space="preserve"> the Eighth Schedule to the Act</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sz w:val="18"/>
          <w:szCs w:val="18"/>
        </w:rPr>
        <w:t xml:space="preserve"> </w:t>
      </w:r>
    </w:p>
    <w:p w:rsidR="00CF1FB8" w:rsidRPr="00546921" w:rsidRDefault="00623D6A" w:rsidP="00306829">
      <w:pPr>
        <w:overflowPunct/>
        <w:autoSpaceDE/>
        <w:autoSpaceDN/>
        <w:adjustRightInd/>
        <w:jc w:val="both"/>
        <w:textAlignment w:val="auto"/>
        <w:rPr>
          <w:rFonts w:ascii="Verdana" w:hAnsi="Verdana"/>
          <w:b/>
          <w:sz w:val="18"/>
          <w:szCs w:val="18"/>
          <w:lang w:val="en-ZA" w:eastAsia="en-ZA"/>
        </w:rPr>
      </w:pPr>
      <w:r w:rsidRPr="00546921">
        <w:rPr>
          <w:rFonts w:ascii="Verdana" w:hAnsi="Verdana"/>
          <w:b/>
          <w:sz w:val="18"/>
          <w:szCs w:val="18"/>
        </w:rPr>
        <w:t xml:space="preserve">Executive summary: </w:t>
      </w:r>
      <w:r w:rsidR="00F332E8" w:rsidRPr="00546921">
        <w:rPr>
          <w:rFonts w:ascii="Verdana" w:hAnsi="Verdana"/>
          <w:sz w:val="18"/>
          <w:szCs w:val="18"/>
        </w:rPr>
        <w:t>This ruling deals with the repayment of shareholder loans by way of set-off. The loan outstanding from the subscription of a new issue of ordinary shares will be set-off against the amount outstanding under the shareholders loans.</w:t>
      </w:r>
    </w:p>
    <w:p w:rsidR="00DC37E4" w:rsidRPr="00546921" w:rsidRDefault="00DC37E4" w:rsidP="00306829">
      <w:pPr>
        <w:overflowPunct/>
        <w:autoSpaceDE/>
        <w:autoSpaceDN/>
        <w:adjustRightInd/>
        <w:jc w:val="both"/>
        <w:textAlignment w:val="auto"/>
        <w:rPr>
          <w:rFonts w:ascii="Verdana" w:hAnsi="Verdana"/>
          <w:sz w:val="18"/>
          <w:szCs w:val="18"/>
        </w:rPr>
      </w:pPr>
    </w:p>
    <w:p w:rsidR="00DC37E4" w:rsidRPr="00546921" w:rsidRDefault="00DC37E4" w:rsidP="00306829">
      <w:pPr>
        <w:overflowPunct/>
        <w:autoSpaceDE/>
        <w:autoSpaceDN/>
        <w:adjustRightInd/>
        <w:jc w:val="both"/>
        <w:textAlignment w:val="auto"/>
        <w:rPr>
          <w:rFonts w:ascii="Verdana" w:hAnsi="Verdana"/>
          <w:sz w:val="18"/>
          <w:szCs w:val="18"/>
        </w:rPr>
      </w:pPr>
    </w:p>
    <w:p w:rsidR="00203DD3" w:rsidRPr="00546921" w:rsidRDefault="00623D6A" w:rsidP="00306829">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BINDING PRIVATE RULING </w:t>
      </w:r>
      <w:r w:rsidR="00DC7DDA">
        <w:rPr>
          <w:rFonts w:ascii="Verdana" w:hAnsi="Verdana"/>
          <w:b/>
          <w:sz w:val="18"/>
          <w:szCs w:val="18"/>
        </w:rPr>
        <w:t>194</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00DC37E4" w:rsidRPr="00546921">
        <w:rPr>
          <w:rFonts w:ascii="Verdana" w:hAnsi="Verdana"/>
          <w:sz w:val="18"/>
          <w:szCs w:val="18"/>
        </w:rPr>
        <w:t xml:space="preserve">15 June 2015 </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 xml:space="preserve">Income Tax Act 58 of 1962; the Securities Transfer </w:t>
      </w:r>
      <w:r w:rsidR="00C21DA0" w:rsidRPr="00546921">
        <w:rPr>
          <w:rFonts w:ascii="Verdana" w:hAnsi="Verdana"/>
          <w:sz w:val="18"/>
          <w:szCs w:val="18"/>
        </w:rPr>
        <w:t xml:space="preserve">Tax </w:t>
      </w:r>
      <w:r w:rsidR="00145889" w:rsidRPr="00546921">
        <w:rPr>
          <w:rFonts w:ascii="Verdana" w:hAnsi="Verdana"/>
          <w:sz w:val="18"/>
          <w:szCs w:val="18"/>
        </w:rPr>
        <w:t>Act 25 of 2007</w:t>
      </w:r>
      <w:r w:rsidR="00DC37E4" w:rsidRPr="00546921">
        <w:rPr>
          <w:rFonts w:ascii="Verdana" w:hAnsi="Verdana"/>
          <w:sz w:val="18"/>
          <w:szCs w:val="18"/>
        </w:rPr>
        <w:t xml:space="preserve"> </w:t>
      </w:r>
    </w:p>
    <w:p w:rsidR="00203DD3" w:rsidRPr="00546921" w:rsidRDefault="00623D6A"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145889" w:rsidRPr="00546921">
        <w:rPr>
          <w:rFonts w:ascii="Verdana" w:hAnsi="Verdana"/>
          <w:sz w:val="18"/>
          <w:szCs w:val="18"/>
        </w:rPr>
        <w:t>S</w:t>
      </w:r>
      <w:r w:rsidR="00FD67F4" w:rsidRPr="00546921">
        <w:rPr>
          <w:rFonts w:ascii="Verdana" w:hAnsi="Verdana"/>
          <w:sz w:val="18"/>
          <w:szCs w:val="18"/>
        </w:rPr>
        <w:t>ection</w:t>
      </w:r>
      <w:r w:rsidRPr="00546921">
        <w:rPr>
          <w:rFonts w:ascii="Verdana" w:hAnsi="Verdana"/>
          <w:sz w:val="18"/>
          <w:szCs w:val="18"/>
        </w:rPr>
        <w:t xml:space="preserve">s 1(1), definitions of </w:t>
      </w:r>
      <w:r w:rsidR="00145889" w:rsidRPr="00546921">
        <w:rPr>
          <w:rFonts w:ascii="Verdana" w:hAnsi="Verdana"/>
          <w:sz w:val="18"/>
          <w:szCs w:val="18"/>
        </w:rPr>
        <w:t>‘</w:t>
      </w:r>
      <w:r w:rsidRPr="00546921">
        <w:rPr>
          <w:rFonts w:ascii="Verdana" w:hAnsi="Verdana"/>
          <w:sz w:val="18"/>
          <w:szCs w:val="18"/>
        </w:rPr>
        <w:t>gross income</w:t>
      </w:r>
      <w:r w:rsidR="00145889" w:rsidRPr="00546921">
        <w:rPr>
          <w:rFonts w:ascii="Verdana" w:hAnsi="Verdana"/>
          <w:sz w:val="18"/>
          <w:szCs w:val="18"/>
        </w:rPr>
        <w:t>’</w:t>
      </w:r>
      <w:r w:rsidRPr="00546921">
        <w:rPr>
          <w:rFonts w:ascii="Verdana" w:hAnsi="Verdana"/>
          <w:sz w:val="18"/>
          <w:szCs w:val="18"/>
        </w:rPr>
        <w:t xml:space="preserve"> and </w:t>
      </w:r>
      <w:r w:rsidR="00145889" w:rsidRPr="00546921">
        <w:rPr>
          <w:rFonts w:ascii="Verdana" w:hAnsi="Verdana"/>
          <w:sz w:val="18"/>
          <w:szCs w:val="18"/>
        </w:rPr>
        <w:t>‘</w:t>
      </w:r>
      <w:r w:rsidRPr="00546921">
        <w:rPr>
          <w:rFonts w:ascii="Verdana" w:hAnsi="Verdana"/>
          <w:sz w:val="18"/>
          <w:szCs w:val="18"/>
        </w:rPr>
        <w:t>dividend</w:t>
      </w:r>
      <w:r w:rsidR="00145889" w:rsidRPr="00546921">
        <w:rPr>
          <w:rFonts w:ascii="Verdana" w:hAnsi="Verdana"/>
          <w:sz w:val="18"/>
          <w:szCs w:val="18"/>
        </w:rPr>
        <w:t>’</w:t>
      </w:r>
      <w:r w:rsidRPr="00546921">
        <w:rPr>
          <w:rFonts w:ascii="Verdana" w:hAnsi="Verdana"/>
          <w:sz w:val="18"/>
          <w:szCs w:val="18"/>
        </w:rPr>
        <w:t>, 18A, 54, 56(1)</w:t>
      </w:r>
      <w:r w:rsidRPr="00546921">
        <w:rPr>
          <w:rFonts w:ascii="Verdana" w:hAnsi="Verdana"/>
          <w:i/>
          <w:sz w:val="18"/>
          <w:szCs w:val="18"/>
        </w:rPr>
        <w:t>(h)</w:t>
      </w:r>
      <w:r w:rsidRPr="00546921">
        <w:rPr>
          <w:rFonts w:ascii="Verdana" w:hAnsi="Verdana"/>
          <w:sz w:val="18"/>
          <w:szCs w:val="18"/>
        </w:rPr>
        <w:t xml:space="preserve">, 64D, definition of </w:t>
      </w:r>
      <w:r w:rsidR="00145889" w:rsidRPr="00546921">
        <w:rPr>
          <w:rFonts w:ascii="Verdana" w:hAnsi="Verdana"/>
          <w:sz w:val="18"/>
          <w:szCs w:val="18"/>
        </w:rPr>
        <w:t>‘</w:t>
      </w:r>
      <w:r w:rsidRPr="00546921">
        <w:rPr>
          <w:rFonts w:ascii="Verdana" w:hAnsi="Verdana"/>
          <w:sz w:val="18"/>
          <w:szCs w:val="18"/>
        </w:rPr>
        <w:t>dividend</w:t>
      </w:r>
      <w:r w:rsidR="00145889" w:rsidRPr="00546921">
        <w:rPr>
          <w:rFonts w:ascii="Verdana" w:hAnsi="Verdana"/>
          <w:sz w:val="18"/>
          <w:szCs w:val="18"/>
        </w:rPr>
        <w:t>’</w:t>
      </w:r>
      <w:r w:rsidRPr="00546921">
        <w:rPr>
          <w:rFonts w:ascii="Verdana" w:hAnsi="Verdana"/>
          <w:sz w:val="18"/>
          <w:szCs w:val="18"/>
        </w:rPr>
        <w:t>, and paras 2(1), 11(1) and (2)</w:t>
      </w:r>
      <w:r w:rsidRPr="00546921">
        <w:rPr>
          <w:rFonts w:ascii="Verdana" w:hAnsi="Verdana"/>
          <w:i/>
          <w:sz w:val="18"/>
          <w:szCs w:val="18"/>
        </w:rPr>
        <w:t>(b)</w:t>
      </w:r>
      <w:r w:rsidRPr="00546921">
        <w:rPr>
          <w:rFonts w:ascii="Verdana" w:hAnsi="Verdana"/>
          <w:sz w:val="18"/>
          <w:szCs w:val="18"/>
        </w:rPr>
        <w:t xml:space="preserve"> of the Eighth Schedul</w:t>
      </w:r>
      <w:r w:rsidR="00F21594" w:rsidRPr="00546921">
        <w:rPr>
          <w:rFonts w:ascii="Verdana" w:hAnsi="Verdana"/>
          <w:sz w:val="18"/>
          <w:szCs w:val="18"/>
        </w:rPr>
        <w:t xml:space="preserve">e to the Income Tax Act; </w:t>
      </w:r>
      <w:proofErr w:type="spellStart"/>
      <w:r w:rsidR="00F21594" w:rsidRPr="00546921">
        <w:rPr>
          <w:rFonts w:ascii="Verdana" w:hAnsi="Verdana"/>
          <w:sz w:val="18"/>
          <w:szCs w:val="18"/>
        </w:rPr>
        <w:t>s</w:t>
      </w:r>
      <w:r w:rsidRPr="00546921">
        <w:rPr>
          <w:rFonts w:ascii="Verdana" w:hAnsi="Verdana"/>
          <w:sz w:val="18"/>
          <w:szCs w:val="18"/>
        </w:rPr>
        <w:t>s</w:t>
      </w:r>
      <w:proofErr w:type="spellEnd"/>
      <w:r w:rsidRPr="00546921">
        <w:rPr>
          <w:rFonts w:ascii="Verdana" w:hAnsi="Verdana"/>
          <w:sz w:val="18"/>
          <w:szCs w:val="18"/>
        </w:rPr>
        <w:t xml:space="preserve"> 2(1) and 6 of </w:t>
      </w:r>
      <w:r w:rsidR="00145889" w:rsidRPr="00546921">
        <w:rPr>
          <w:rFonts w:ascii="Verdana" w:hAnsi="Verdana"/>
          <w:sz w:val="18"/>
          <w:szCs w:val="18"/>
        </w:rPr>
        <w:t>the Securities Transfer Tax Act</w:t>
      </w:r>
    </w:p>
    <w:p w:rsidR="00145889" w:rsidRPr="00546921" w:rsidRDefault="00145889" w:rsidP="00306829">
      <w:pPr>
        <w:overflowPunct/>
        <w:autoSpaceDE/>
        <w:autoSpaceDN/>
        <w:adjustRightInd/>
        <w:jc w:val="both"/>
        <w:textAlignment w:val="auto"/>
        <w:rPr>
          <w:rFonts w:ascii="Verdana" w:hAnsi="Verdana"/>
          <w:b/>
          <w:sz w:val="18"/>
          <w:szCs w:val="18"/>
        </w:rPr>
      </w:pPr>
    </w:p>
    <w:p w:rsidR="00CF1FB8" w:rsidRPr="00546921" w:rsidRDefault="00623D6A" w:rsidP="00306829">
      <w:pPr>
        <w:overflowPunct/>
        <w:autoSpaceDE/>
        <w:autoSpaceDN/>
        <w:adjustRightInd/>
        <w:jc w:val="both"/>
        <w:textAlignment w:val="auto"/>
        <w:rPr>
          <w:rFonts w:ascii="Verdana" w:hAnsi="Verdana"/>
          <w:b/>
          <w:sz w:val="18"/>
          <w:szCs w:val="18"/>
          <w:lang w:val="en-ZA" w:eastAsia="en-ZA"/>
        </w:rPr>
      </w:pPr>
      <w:r w:rsidRPr="00546921">
        <w:rPr>
          <w:rFonts w:ascii="Verdana" w:hAnsi="Verdana"/>
          <w:b/>
          <w:sz w:val="18"/>
          <w:szCs w:val="18"/>
        </w:rPr>
        <w:t>Executive summary:</w:t>
      </w:r>
      <w:r w:rsidR="00DC37E4" w:rsidRPr="00546921">
        <w:rPr>
          <w:rFonts w:ascii="Verdana" w:hAnsi="Verdana"/>
          <w:sz w:val="18"/>
          <w:szCs w:val="18"/>
        </w:rPr>
        <w:t xml:space="preserve"> This ruling deals wit</w:t>
      </w:r>
      <w:r w:rsidR="00FD67F4" w:rsidRPr="00546921">
        <w:rPr>
          <w:rFonts w:ascii="Verdana" w:hAnsi="Verdana"/>
          <w:sz w:val="18"/>
          <w:szCs w:val="18"/>
        </w:rPr>
        <w:t>h the disposal of shares by way of</w:t>
      </w:r>
      <w:r w:rsidR="00DC37E4" w:rsidRPr="00546921">
        <w:rPr>
          <w:rFonts w:ascii="Verdana" w:hAnsi="Verdana"/>
          <w:sz w:val="18"/>
          <w:szCs w:val="18"/>
        </w:rPr>
        <w:t xml:space="preserve"> a share buy-back by a resident company from a non-resident person and a donation of shares by the same non-resident person to another resident company, </w:t>
      </w:r>
      <w:r w:rsidR="00FD67F4" w:rsidRPr="00546921">
        <w:rPr>
          <w:rFonts w:ascii="Verdana" w:hAnsi="Verdana"/>
          <w:sz w:val="18"/>
          <w:szCs w:val="18"/>
        </w:rPr>
        <w:t xml:space="preserve">in </w:t>
      </w:r>
      <w:r w:rsidR="00DC37E4" w:rsidRPr="00546921">
        <w:rPr>
          <w:rFonts w:ascii="Verdana" w:hAnsi="Verdana"/>
          <w:sz w:val="18"/>
          <w:szCs w:val="18"/>
        </w:rPr>
        <w:t>both</w:t>
      </w:r>
      <w:r w:rsidR="00FD67F4" w:rsidRPr="00546921">
        <w:rPr>
          <w:rFonts w:ascii="Verdana" w:hAnsi="Verdana"/>
          <w:sz w:val="18"/>
          <w:szCs w:val="18"/>
        </w:rPr>
        <w:t xml:space="preserve"> cases</w:t>
      </w:r>
      <w:r w:rsidR="00DC37E4" w:rsidRPr="00546921">
        <w:rPr>
          <w:rFonts w:ascii="Verdana" w:hAnsi="Verdana"/>
          <w:sz w:val="18"/>
          <w:szCs w:val="18"/>
        </w:rPr>
        <w:t xml:space="preserve"> for no consideration</w:t>
      </w:r>
      <w:r w:rsidR="00FD67F4" w:rsidRPr="00546921">
        <w:rPr>
          <w:rFonts w:ascii="Verdana" w:hAnsi="Verdana"/>
          <w:sz w:val="18"/>
          <w:szCs w:val="18"/>
        </w:rPr>
        <w:t>.</w:t>
      </w:r>
    </w:p>
    <w:p w:rsidR="00E24483" w:rsidRPr="00546921" w:rsidRDefault="00E24483" w:rsidP="00306829">
      <w:pPr>
        <w:overflowPunct/>
        <w:autoSpaceDE/>
        <w:autoSpaceDN/>
        <w:adjustRightInd/>
        <w:jc w:val="both"/>
        <w:textAlignment w:val="auto"/>
        <w:rPr>
          <w:rFonts w:ascii="Verdana" w:hAnsi="Verdana"/>
          <w:b/>
          <w:sz w:val="18"/>
          <w:szCs w:val="18"/>
          <w:lang w:val="en-ZA" w:eastAsia="en-ZA"/>
        </w:rPr>
      </w:pPr>
    </w:p>
    <w:p w:rsidR="00DD12E1" w:rsidRPr="00546921" w:rsidRDefault="00DD12E1" w:rsidP="00306829">
      <w:pPr>
        <w:overflowPunct/>
        <w:autoSpaceDE/>
        <w:autoSpaceDN/>
        <w:adjustRightInd/>
        <w:jc w:val="both"/>
        <w:textAlignment w:val="auto"/>
        <w:rPr>
          <w:rFonts w:ascii="Verdana" w:hAnsi="Verdana"/>
          <w:b/>
          <w:sz w:val="18"/>
          <w:szCs w:val="18"/>
          <w:lang w:val="en-ZA" w:eastAsia="en-ZA"/>
        </w:rPr>
      </w:pPr>
    </w:p>
    <w:p w:rsidR="00DD12E1" w:rsidRPr="00546921" w:rsidRDefault="00DC7DDA" w:rsidP="00306829">
      <w:pPr>
        <w:overflowPunct/>
        <w:autoSpaceDE/>
        <w:autoSpaceDN/>
        <w:adjustRightInd/>
        <w:jc w:val="both"/>
        <w:textAlignment w:val="auto"/>
        <w:rPr>
          <w:rFonts w:ascii="Verdana" w:hAnsi="Verdana"/>
          <w:b/>
          <w:sz w:val="18"/>
          <w:szCs w:val="18"/>
        </w:rPr>
      </w:pPr>
      <w:r>
        <w:rPr>
          <w:rFonts w:ascii="Verdana" w:hAnsi="Verdana"/>
          <w:b/>
          <w:sz w:val="18"/>
          <w:szCs w:val="18"/>
        </w:rPr>
        <w:t>BINDING PRIVATE RULING 195</w:t>
      </w:r>
    </w:p>
    <w:p w:rsidR="00DD12E1" w:rsidRPr="00890B7B" w:rsidRDefault="00890B7B" w:rsidP="0030682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w:t>
      </w:r>
      <w:r w:rsidR="00DD12E1" w:rsidRPr="00546921">
        <w:rPr>
          <w:rFonts w:ascii="Verdana" w:hAnsi="Verdana"/>
          <w:b/>
          <w:sz w:val="18"/>
          <w:szCs w:val="18"/>
        </w:rPr>
        <w:t>Date</w:t>
      </w:r>
      <w:r w:rsidR="00DD12E1" w:rsidRPr="00546921">
        <w:rPr>
          <w:rFonts w:ascii="Verdana" w:hAnsi="Verdana"/>
          <w:sz w:val="18"/>
          <w:szCs w:val="18"/>
        </w:rPr>
        <w:t>: 26 June 2015</w:t>
      </w:r>
      <w:r w:rsidR="00DD12E1" w:rsidRPr="00890B7B">
        <w:rPr>
          <w:rFonts w:ascii="Verdana" w:hAnsi="Verdana"/>
          <w:sz w:val="18"/>
          <w:szCs w:val="18"/>
        </w:rPr>
        <w:t xml:space="preserve"> </w:t>
      </w:r>
    </w:p>
    <w:p w:rsidR="00DD12E1" w:rsidRPr="00890B7B" w:rsidRDefault="00DD12E1" w:rsidP="00306829">
      <w:pPr>
        <w:overflowPunct/>
        <w:autoSpaceDE/>
        <w:autoSpaceDN/>
        <w:adjustRightInd/>
        <w:jc w:val="both"/>
        <w:textAlignment w:val="auto"/>
        <w:rPr>
          <w:rFonts w:ascii="Verdana" w:hAnsi="Verdana"/>
          <w:sz w:val="18"/>
          <w:szCs w:val="18"/>
        </w:rPr>
      </w:pPr>
      <w:r w:rsidRPr="00890B7B">
        <w:rPr>
          <w:rFonts w:ascii="Verdana" w:hAnsi="Verdana"/>
          <w:b/>
          <w:sz w:val="18"/>
          <w:szCs w:val="18"/>
        </w:rPr>
        <w:t xml:space="preserve">Affected legislation: </w:t>
      </w:r>
      <w:r w:rsidRPr="00890B7B">
        <w:rPr>
          <w:rFonts w:ascii="Verdana" w:hAnsi="Verdana"/>
          <w:sz w:val="18"/>
          <w:szCs w:val="18"/>
        </w:rPr>
        <w:t>S</w:t>
      </w:r>
      <w:r w:rsidR="00FD67F4" w:rsidRPr="00890B7B">
        <w:rPr>
          <w:rFonts w:ascii="Verdana" w:hAnsi="Verdana"/>
          <w:sz w:val="18"/>
          <w:szCs w:val="18"/>
        </w:rPr>
        <w:t>ecurities Transfer Tax Act 25 of</w:t>
      </w:r>
      <w:r w:rsidRPr="00890B7B">
        <w:rPr>
          <w:rFonts w:ascii="Verdana" w:hAnsi="Verdana"/>
          <w:sz w:val="18"/>
          <w:szCs w:val="18"/>
        </w:rPr>
        <w:t xml:space="preserve"> 2007 (the STT Act)</w:t>
      </w:r>
      <w:r w:rsidR="00C87344">
        <w:rPr>
          <w:rFonts w:ascii="Verdana" w:hAnsi="Verdana"/>
          <w:sz w:val="18"/>
          <w:szCs w:val="18"/>
        </w:rPr>
        <w:t>;</w:t>
      </w:r>
      <w:r w:rsidRPr="00890B7B">
        <w:rPr>
          <w:rFonts w:ascii="Verdana" w:hAnsi="Verdana"/>
          <w:sz w:val="18"/>
          <w:szCs w:val="18"/>
        </w:rPr>
        <w:t xml:space="preserve"> Income Tax Act</w:t>
      </w:r>
      <w:r w:rsidR="00FD67F4" w:rsidRPr="00890B7B">
        <w:rPr>
          <w:rFonts w:ascii="Verdana" w:hAnsi="Verdana"/>
          <w:sz w:val="18"/>
          <w:szCs w:val="18"/>
        </w:rPr>
        <w:t xml:space="preserve"> 58 of</w:t>
      </w:r>
      <w:r w:rsidRPr="00890B7B">
        <w:rPr>
          <w:rFonts w:ascii="Verdana" w:hAnsi="Verdana"/>
          <w:sz w:val="18"/>
          <w:szCs w:val="18"/>
        </w:rPr>
        <w:t xml:space="preserve"> 1962 (the Act) </w:t>
      </w:r>
    </w:p>
    <w:p w:rsidR="00DD12E1" w:rsidRPr="00890B7B" w:rsidRDefault="00DD12E1" w:rsidP="00306829">
      <w:pPr>
        <w:overflowPunct/>
        <w:autoSpaceDE/>
        <w:autoSpaceDN/>
        <w:adjustRightInd/>
        <w:jc w:val="both"/>
        <w:textAlignment w:val="auto"/>
        <w:rPr>
          <w:rFonts w:ascii="Verdana" w:hAnsi="Verdana"/>
          <w:sz w:val="18"/>
          <w:szCs w:val="18"/>
        </w:rPr>
      </w:pPr>
      <w:r w:rsidRPr="00890B7B">
        <w:rPr>
          <w:rFonts w:ascii="Verdana" w:hAnsi="Verdana"/>
          <w:b/>
          <w:sz w:val="18"/>
          <w:szCs w:val="18"/>
        </w:rPr>
        <w:t xml:space="preserve">Provisions: </w:t>
      </w:r>
      <w:r w:rsidR="00890B7B" w:rsidRPr="00890B7B">
        <w:rPr>
          <w:rFonts w:ascii="Verdana" w:hAnsi="Verdana"/>
          <w:sz w:val="18"/>
          <w:szCs w:val="18"/>
        </w:rPr>
        <w:t>S</w:t>
      </w:r>
      <w:r w:rsidRPr="00890B7B">
        <w:rPr>
          <w:rFonts w:ascii="Verdana" w:hAnsi="Verdana"/>
          <w:sz w:val="18"/>
          <w:szCs w:val="18"/>
        </w:rPr>
        <w:t>ection 8(1</w:t>
      </w:r>
      <w:proofErr w:type="gramStart"/>
      <w:r w:rsidRPr="00890B7B">
        <w:rPr>
          <w:rFonts w:ascii="Verdana" w:hAnsi="Verdana"/>
          <w:sz w:val="18"/>
          <w:szCs w:val="18"/>
        </w:rPr>
        <w:t>)</w:t>
      </w:r>
      <w:r w:rsidRPr="00890B7B">
        <w:rPr>
          <w:rFonts w:ascii="Verdana" w:hAnsi="Verdana"/>
          <w:i/>
          <w:sz w:val="18"/>
          <w:szCs w:val="18"/>
        </w:rPr>
        <w:t>(</w:t>
      </w:r>
      <w:proofErr w:type="gramEnd"/>
      <w:r w:rsidRPr="00890B7B">
        <w:rPr>
          <w:rFonts w:ascii="Verdana" w:hAnsi="Verdana"/>
          <w:i/>
          <w:sz w:val="18"/>
          <w:szCs w:val="18"/>
        </w:rPr>
        <w:t>a)</w:t>
      </w:r>
      <w:r w:rsidR="00C87344">
        <w:rPr>
          <w:rFonts w:ascii="Verdana" w:hAnsi="Verdana"/>
          <w:sz w:val="18"/>
          <w:szCs w:val="18"/>
        </w:rPr>
        <w:t xml:space="preserve"> of the STT Act; </w:t>
      </w:r>
      <w:proofErr w:type="spellStart"/>
      <w:r w:rsidR="00C87344">
        <w:rPr>
          <w:rFonts w:ascii="Verdana" w:hAnsi="Verdana"/>
          <w:sz w:val="18"/>
          <w:szCs w:val="18"/>
        </w:rPr>
        <w:t>s</w:t>
      </w:r>
      <w:r w:rsidRPr="00890B7B">
        <w:rPr>
          <w:rFonts w:ascii="Verdana" w:hAnsi="Verdana"/>
          <w:sz w:val="18"/>
          <w:szCs w:val="18"/>
        </w:rPr>
        <w:t>s</w:t>
      </w:r>
      <w:proofErr w:type="spellEnd"/>
      <w:r w:rsidRPr="00890B7B">
        <w:rPr>
          <w:rFonts w:ascii="Verdana" w:hAnsi="Verdana"/>
          <w:sz w:val="18"/>
          <w:szCs w:val="18"/>
        </w:rPr>
        <w:t xml:space="preserve"> 1(1) definition of </w:t>
      </w:r>
      <w:r w:rsidR="00890B7B" w:rsidRPr="00890B7B">
        <w:rPr>
          <w:rFonts w:ascii="Verdana" w:hAnsi="Verdana"/>
          <w:sz w:val="18"/>
          <w:szCs w:val="18"/>
        </w:rPr>
        <w:t>‘</w:t>
      </w:r>
      <w:r w:rsidRPr="00890B7B">
        <w:rPr>
          <w:rFonts w:ascii="Verdana" w:hAnsi="Verdana"/>
          <w:sz w:val="18"/>
          <w:szCs w:val="18"/>
        </w:rPr>
        <w:t>contributed tax capital</w:t>
      </w:r>
      <w:r w:rsidR="00890B7B" w:rsidRPr="00890B7B">
        <w:rPr>
          <w:rFonts w:ascii="Verdana" w:hAnsi="Verdana"/>
          <w:sz w:val="18"/>
          <w:szCs w:val="18"/>
        </w:rPr>
        <w:t>’</w:t>
      </w:r>
      <w:r w:rsidRPr="00890B7B">
        <w:rPr>
          <w:rFonts w:ascii="Verdana" w:hAnsi="Verdana"/>
          <w:sz w:val="18"/>
          <w:szCs w:val="18"/>
        </w:rPr>
        <w:t xml:space="preserve">, and </w:t>
      </w:r>
      <w:r w:rsidR="00890B7B" w:rsidRPr="00890B7B">
        <w:rPr>
          <w:rFonts w:ascii="Verdana" w:hAnsi="Verdana"/>
          <w:sz w:val="18"/>
          <w:szCs w:val="18"/>
        </w:rPr>
        <w:t>‘</w:t>
      </w:r>
      <w:r w:rsidRPr="00890B7B">
        <w:rPr>
          <w:rFonts w:ascii="Verdana" w:hAnsi="Verdana"/>
          <w:sz w:val="18"/>
          <w:szCs w:val="18"/>
        </w:rPr>
        <w:t>permanent establishment</w:t>
      </w:r>
      <w:r w:rsidR="00890B7B" w:rsidRPr="00890B7B">
        <w:rPr>
          <w:rFonts w:ascii="Verdana" w:hAnsi="Verdana"/>
          <w:sz w:val="18"/>
          <w:szCs w:val="18"/>
        </w:rPr>
        <w:t>’</w:t>
      </w:r>
      <w:r w:rsidRPr="00890B7B">
        <w:rPr>
          <w:rFonts w:ascii="Verdana" w:hAnsi="Verdana"/>
          <w:sz w:val="18"/>
          <w:szCs w:val="18"/>
        </w:rPr>
        <w:t>, 40CA, and 42 and paras 2(1)</w:t>
      </w:r>
      <w:r w:rsidRPr="00890B7B">
        <w:rPr>
          <w:rFonts w:ascii="Verdana" w:hAnsi="Verdana"/>
          <w:i/>
          <w:sz w:val="18"/>
          <w:szCs w:val="18"/>
        </w:rPr>
        <w:t>(b)</w:t>
      </w:r>
      <w:r w:rsidRPr="00890B7B">
        <w:rPr>
          <w:rFonts w:ascii="Verdana" w:hAnsi="Verdana"/>
          <w:sz w:val="18"/>
          <w:szCs w:val="18"/>
        </w:rPr>
        <w:t xml:space="preserve"> and 20(1)</w:t>
      </w:r>
      <w:r w:rsidRPr="00890B7B">
        <w:rPr>
          <w:rFonts w:ascii="Verdana" w:hAnsi="Verdana"/>
          <w:i/>
          <w:sz w:val="18"/>
          <w:szCs w:val="18"/>
        </w:rPr>
        <w:t>(a)</w:t>
      </w:r>
      <w:r w:rsidRPr="00890B7B">
        <w:rPr>
          <w:rFonts w:ascii="Verdana" w:hAnsi="Verdana"/>
          <w:sz w:val="18"/>
          <w:szCs w:val="18"/>
        </w:rPr>
        <w:t xml:space="preserve"> of the Eighth Schedule to the Act</w:t>
      </w:r>
      <w:r w:rsidR="00FD67F4" w:rsidRPr="00890B7B">
        <w:rPr>
          <w:rFonts w:ascii="Verdana" w:hAnsi="Verdana"/>
          <w:sz w:val="18"/>
          <w:szCs w:val="18"/>
        </w:rPr>
        <w:t>.</w:t>
      </w:r>
      <w:r w:rsidRPr="00890B7B">
        <w:rPr>
          <w:rFonts w:ascii="Verdana" w:hAnsi="Verdana"/>
          <w:sz w:val="18"/>
          <w:szCs w:val="18"/>
        </w:rPr>
        <w:t xml:space="preserve"> </w:t>
      </w:r>
    </w:p>
    <w:p w:rsidR="00890B7B" w:rsidRPr="00890B7B" w:rsidRDefault="00890B7B" w:rsidP="00306829">
      <w:pPr>
        <w:overflowPunct/>
        <w:autoSpaceDE/>
        <w:autoSpaceDN/>
        <w:adjustRightInd/>
        <w:jc w:val="both"/>
        <w:textAlignment w:val="auto"/>
        <w:rPr>
          <w:rFonts w:ascii="Verdana" w:hAnsi="Verdana"/>
          <w:sz w:val="18"/>
          <w:szCs w:val="18"/>
        </w:rPr>
      </w:pPr>
    </w:p>
    <w:p w:rsidR="00DD12E1" w:rsidRPr="00890B7B" w:rsidRDefault="00DD12E1" w:rsidP="00306829">
      <w:pPr>
        <w:overflowPunct/>
        <w:autoSpaceDE/>
        <w:autoSpaceDN/>
        <w:adjustRightInd/>
        <w:jc w:val="both"/>
        <w:textAlignment w:val="auto"/>
        <w:rPr>
          <w:rFonts w:ascii="Verdana" w:hAnsi="Verdana"/>
          <w:b/>
          <w:sz w:val="18"/>
          <w:szCs w:val="18"/>
          <w:lang w:val="en-ZA" w:eastAsia="en-ZA"/>
        </w:rPr>
      </w:pPr>
      <w:r w:rsidRPr="00890B7B">
        <w:rPr>
          <w:rFonts w:ascii="Verdana" w:hAnsi="Verdana"/>
          <w:b/>
          <w:sz w:val="18"/>
          <w:szCs w:val="18"/>
        </w:rPr>
        <w:t>Executive summary:</w:t>
      </w:r>
      <w:r w:rsidRPr="00890B7B">
        <w:rPr>
          <w:rFonts w:ascii="Verdana" w:hAnsi="Verdana"/>
          <w:sz w:val="18"/>
          <w:szCs w:val="18"/>
        </w:rPr>
        <w:t xml:space="preserve"> </w:t>
      </w:r>
      <w:proofErr w:type="gramStart"/>
      <w:r w:rsidRPr="00890B7B">
        <w:rPr>
          <w:rFonts w:ascii="Verdana" w:hAnsi="Verdana"/>
          <w:sz w:val="18"/>
          <w:szCs w:val="18"/>
        </w:rPr>
        <w:t>This ruling deals</w:t>
      </w:r>
      <w:proofErr w:type="gramEnd"/>
      <w:r w:rsidRPr="00890B7B">
        <w:rPr>
          <w:rFonts w:ascii="Verdana" w:hAnsi="Verdana"/>
          <w:sz w:val="18"/>
          <w:szCs w:val="18"/>
        </w:rPr>
        <w:t xml:space="preserve"> with the exemption from securities transfer tax of a share transfer in terms of an asset-for-share transaction under which the parties have elected that the relief provided for under s 42 of the Act will not apply.</w:t>
      </w:r>
    </w:p>
    <w:p w:rsidR="005E6BB8" w:rsidRPr="00890B7B" w:rsidRDefault="005E6BB8" w:rsidP="00306829">
      <w:pPr>
        <w:overflowPunct/>
        <w:autoSpaceDE/>
        <w:autoSpaceDN/>
        <w:adjustRightInd/>
        <w:jc w:val="both"/>
        <w:textAlignment w:val="auto"/>
        <w:rPr>
          <w:rFonts w:ascii="Verdana" w:hAnsi="Verdana"/>
          <w:b/>
          <w:sz w:val="18"/>
          <w:szCs w:val="18"/>
          <w:lang w:val="en-ZA" w:eastAsia="en-ZA"/>
        </w:rPr>
      </w:pPr>
    </w:p>
    <w:p w:rsidR="005E6BB8" w:rsidRPr="005B11CC" w:rsidRDefault="005E6BB8" w:rsidP="00306829">
      <w:pPr>
        <w:overflowPunct/>
        <w:autoSpaceDE/>
        <w:autoSpaceDN/>
        <w:adjustRightInd/>
        <w:jc w:val="both"/>
        <w:textAlignment w:val="auto"/>
        <w:rPr>
          <w:rFonts w:ascii="Verdana" w:hAnsi="Verdana"/>
          <w:b/>
          <w:sz w:val="18"/>
          <w:szCs w:val="18"/>
          <w:lang w:val="en-ZA" w:eastAsia="en-ZA"/>
        </w:rPr>
      </w:pPr>
    </w:p>
    <w:p w:rsidR="00EC105E" w:rsidRDefault="001C5D1E" w:rsidP="001C5D1E">
      <w:pPr>
        <w:spacing w:line="240" w:lineRule="atLeast"/>
        <w:jc w:val="center"/>
        <w:rPr>
          <w:rFonts w:ascii="Verdana" w:hAnsi="Verdana"/>
          <w:b/>
          <w:color w:val="008080"/>
          <w:sz w:val="24"/>
          <w:szCs w:val="24"/>
        </w:rPr>
      </w:pPr>
      <w:r>
        <w:rPr>
          <w:rFonts w:ascii="Verdana" w:hAnsi="Verdana"/>
          <w:b/>
          <w:color w:val="008080"/>
          <w:sz w:val="24"/>
          <w:szCs w:val="24"/>
        </w:rPr>
        <w:t>INTERPRETATION NOTES</w:t>
      </w:r>
    </w:p>
    <w:p w:rsidR="00EC105E" w:rsidRDefault="00EC105E" w:rsidP="001C5D1E">
      <w:pPr>
        <w:spacing w:line="240" w:lineRule="atLeast"/>
        <w:jc w:val="center"/>
        <w:rPr>
          <w:rFonts w:ascii="Verdana" w:hAnsi="Verdana"/>
          <w:sz w:val="28"/>
          <w:szCs w:val="28"/>
          <w:lang w:val="en-ZA" w:eastAsia="en-GB"/>
        </w:rPr>
      </w:pPr>
    </w:p>
    <w:p w:rsidR="00203185" w:rsidRPr="00964FD0" w:rsidRDefault="00964FD0" w:rsidP="00655261">
      <w:pPr>
        <w:overflowPunct/>
        <w:autoSpaceDE/>
        <w:autoSpaceDN/>
        <w:adjustRightInd/>
        <w:jc w:val="center"/>
        <w:textAlignment w:val="auto"/>
        <w:rPr>
          <w:rFonts w:ascii="Verdana" w:hAnsi="Verdana"/>
          <w:b/>
          <w:i/>
          <w:color w:val="008080"/>
          <w:sz w:val="24"/>
          <w:szCs w:val="24"/>
        </w:rPr>
      </w:pPr>
      <w:r w:rsidRPr="00964FD0">
        <w:rPr>
          <w:rFonts w:ascii="Verdana" w:hAnsi="Verdana"/>
          <w:b/>
          <w:i/>
          <w:color w:val="008080"/>
          <w:sz w:val="24"/>
          <w:szCs w:val="24"/>
        </w:rPr>
        <w:t>ARCHIVED INTERPRETATION NOTES</w:t>
      </w:r>
    </w:p>
    <w:p w:rsidR="00203185" w:rsidRPr="00655261" w:rsidRDefault="00203185" w:rsidP="00655261">
      <w:pPr>
        <w:overflowPunct/>
        <w:autoSpaceDE/>
        <w:autoSpaceDN/>
        <w:adjustRightInd/>
        <w:jc w:val="center"/>
        <w:textAlignment w:val="auto"/>
        <w:rPr>
          <w:rFonts w:ascii="Verdana" w:hAnsi="Verdana"/>
          <w:sz w:val="18"/>
          <w:szCs w:val="18"/>
          <w:lang w:val="en-ZA" w:eastAsia="en-ZA"/>
        </w:rPr>
      </w:pPr>
    </w:p>
    <w:p w:rsidR="00451765" w:rsidRPr="00964FD0" w:rsidRDefault="00451765" w:rsidP="00964FD0">
      <w:pPr>
        <w:overflowPunct/>
        <w:autoSpaceDE/>
        <w:autoSpaceDN/>
        <w:adjustRightInd/>
        <w:jc w:val="both"/>
        <w:textAlignment w:val="auto"/>
        <w:rPr>
          <w:rFonts w:ascii="Verdana" w:hAnsi="Verdana"/>
          <w:b/>
          <w:sz w:val="18"/>
          <w:szCs w:val="18"/>
        </w:rPr>
      </w:pPr>
    </w:p>
    <w:p w:rsidR="00451765" w:rsidRPr="00546921" w:rsidRDefault="00451765" w:rsidP="00964FD0">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INTERPRETATION NOTE 18 (Issue 2) </w:t>
      </w:r>
    </w:p>
    <w:p w:rsidR="00451765" w:rsidRPr="00546921" w:rsidRDefault="00FD67F4" w:rsidP="00964FD0">
      <w:pPr>
        <w:overflowPunct/>
        <w:autoSpaceDE/>
        <w:autoSpaceDN/>
        <w:adjustRightInd/>
        <w:jc w:val="both"/>
        <w:textAlignment w:val="auto"/>
        <w:rPr>
          <w:rFonts w:ascii="Verdana" w:hAnsi="Verdana"/>
          <w:sz w:val="18"/>
          <w:szCs w:val="18"/>
        </w:rPr>
      </w:pPr>
      <w:r w:rsidRPr="00546921">
        <w:rPr>
          <w:rFonts w:ascii="Verdana" w:hAnsi="Verdana"/>
          <w:b/>
          <w:sz w:val="18"/>
          <w:szCs w:val="18"/>
        </w:rPr>
        <w:t>Date:</w:t>
      </w:r>
      <w:r w:rsidR="00451765" w:rsidRPr="00546921">
        <w:rPr>
          <w:rFonts w:ascii="Verdana" w:hAnsi="Verdana"/>
          <w:sz w:val="18"/>
          <w:szCs w:val="18"/>
        </w:rPr>
        <w:t xml:space="preserve"> 31 March 2009</w:t>
      </w:r>
    </w:p>
    <w:p w:rsidR="00451765" w:rsidRPr="00546921" w:rsidRDefault="00451765" w:rsidP="00964FD0">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Income Tax Act 58 of 1962</w:t>
      </w:r>
    </w:p>
    <w:p w:rsidR="00451765" w:rsidRPr="00546921" w:rsidRDefault="00451765" w:rsidP="00964FD0">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964FD0" w:rsidRPr="00546921">
        <w:rPr>
          <w:rFonts w:ascii="Verdana" w:hAnsi="Verdana"/>
          <w:sz w:val="18"/>
          <w:szCs w:val="18"/>
        </w:rPr>
        <w:t>S</w:t>
      </w:r>
      <w:r w:rsidRPr="00546921">
        <w:rPr>
          <w:rFonts w:ascii="Verdana" w:hAnsi="Verdana"/>
          <w:sz w:val="18"/>
          <w:szCs w:val="18"/>
        </w:rPr>
        <w:t>ection 6</w:t>
      </w:r>
      <w:r w:rsidRPr="00546921">
        <w:rPr>
          <w:rFonts w:ascii="Verdana" w:hAnsi="Verdana"/>
          <w:i/>
          <w:sz w:val="18"/>
          <w:szCs w:val="18"/>
        </w:rPr>
        <w:t xml:space="preserve">quat </w:t>
      </w:r>
    </w:p>
    <w:p w:rsidR="00964FD0" w:rsidRPr="00546921" w:rsidRDefault="00964FD0" w:rsidP="00964FD0">
      <w:pPr>
        <w:overflowPunct/>
        <w:autoSpaceDE/>
        <w:autoSpaceDN/>
        <w:adjustRightInd/>
        <w:jc w:val="both"/>
        <w:textAlignment w:val="auto"/>
        <w:rPr>
          <w:rFonts w:ascii="Verdana" w:hAnsi="Verdana"/>
          <w:b/>
          <w:sz w:val="18"/>
          <w:szCs w:val="18"/>
        </w:rPr>
      </w:pPr>
    </w:p>
    <w:p w:rsidR="00451765" w:rsidRPr="00546921" w:rsidRDefault="00451765" w:rsidP="00964FD0">
      <w:pPr>
        <w:overflowPunct/>
        <w:autoSpaceDE/>
        <w:autoSpaceDN/>
        <w:adjustRightInd/>
        <w:jc w:val="both"/>
        <w:textAlignment w:val="auto"/>
        <w:rPr>
          <w:rFonts w:ascii="Verdana" w:hAnsi="Verdana"/>
          <w:sz w:val="18"/>
          <w:szCs w:val="18"/>
        </w:rPr>
      </w:pPr>
      <w:r w:rsidRPr="00546921">
        <w:rPr>
          <w:rFonts w:ascii="Verdana" w:hAnsi="Verdana"/>
          <w:b/>
          <w:sz w:val="18"/>
          <w:szCs w:val="18"/>
        </w:rPr>
        <w:t>Executive summary:</w:t>
      </w:r>
      <w:r w:rsidRPr="00546921">
        <w:rPr>
          <w:rFonts w:ascii="Verdana" w:hAnsi="Verdana"/>
          <w:sz w:val="18"/>
          <w:szCs w:val="18"/>
        </w:rPr>
        <w:t xml:space="preserve"> This note which provided for a rebate or deduction in respect of foreign taxes on income. This note was arc</w:t>
      </w:r>
      <w:r w:rsidR="00A72E2D" w:rsidRPr="00546921">
        <w:rPr>
          <w:rFonts w:ascii="Verdana" w:hAnsi="Verdana"/>
          <w:sz w:val="18"/>
          <w:szCs w:val="18"/>
        </w:rPr>
        <w:t>hived on 26 June 2015; see now I</w:t>
      </w:r>
      <w:r w:rsidRPr="00546921">
        <w:rPr>
          <w:rFonts w:ascii="Verdana" w:hAnsi="Verdana"/>
          <w:sz w:val="18"/>
          <w:szCs w:val="18"/>
        </w:rPr>
        <w:t>ssue 3 of this note.</w:t>
      </w:r>
    </w:p>
    <w:p w:rsidR="00451765" w:rsidRPr="00546921" w:rsidRDefault="00451765" w:rsidP="00964FD0">
      <w:pPr>
        <w:overflowPunct/>
        <w:autoSpaceDE/>
        <w:autoSpaceDN/>
        <w:adjustRightInd/>
        <w:jc w:val="both"/>
        <w:textAlignment w:val="auto"/>
        <w:rPr>
          <w:rFonts w:ascii="Verdana" w:hAnsi="Verdana"/>
          <w:b/>
          <w:color w:val="182738"/>
          <w:sz w:val="18"/>
          <w:szCs w:val="18"/>
          <w:shd w:val="clear" w:color="auto" w:fill="FFFFFF"/>
          <w:lang w:val="en-ZA"/>
        </w:rPr>
      </w:pPr>
    </w:p>
    <w:p w:rsidR="00FD67F4" w:rsidRPr="00546921" w:rsidRDefault="00FD67F4" w:rsidP="00964FD0">
      <w:pPr>
        <w:overflowPunct/>
        <w:autoSpaceDE/>
        <w:autoSpaceDN/>
        <w:adjustRightInd/>
        <w:jc w:val="both"/>
        <w:textAlignment w:val="auto"/>
        <w:rPr>
          <w:rFonts w:ascii="Verdana" w:hAnsi="Verdana"/>
          <w:b/>
          <w:color w:val="182738"/>
          <w:sz w:val="18"/>
          <w:szCs w:val="18"/>
          <w:shd w:val="clear" w:color="auto" w:fill="FFFFFF"/>
          <w:lang w:val="en-ZA"/>
        </w:rPr>
      </w:pPr>
    </w:p>
    <w:p w:rsidR="00203185" w:rsidRPr="00546921" w:rsidRDefault="00203185" w:rsidP="00964FD0">
      <w:pPr>
        <w:overflowPunct/>
        <w:autoSpaceDE/>
        <w:autoSpaceDN/>
        <w:adjustRightInd/>
        <w:jc w:val="both"/>
        <w:textAlignment w:val="auto"/>
        <w:rPr>
          <w:rFonts w:ascii="Verdana" w:hAnsi="Verdana"/>
          <w:b/>
          <w:color w:val="182738"/>
          <w:sz w:val="18"/>
          <w:szCs w:val="18"/>
          <w:shd w:val="clear" w:color="auto" w:fill="FFFFFF"/>
          <w:lang w:val="en-ZA"/>
        </w:rPr>
      </w:pPr>
      <w:r w:rsidRPr="00546921">
        <w:rPr>
          <w:rFonts w:ascii="Verdana" w:hAnsi="Verdana"/>
          <w:b/>
          <w:color w:val="182738"/>
          <w:sz w:val="18"/>
          <w:szCs w:val="18"/>
          <w:shd w:val="clear" w:color="auto" w:fill="FFFFFF"/>
          <w:lang w:val="en-ZA"/>
        </w:rPr>
        <w:t xml:space="preserve">INTERPRETATION NOTE 46 </w:t>
      </w:r>
      <w:r w:rsidR="0047794D" w:rsidRPr="00546921">
        <w:rPr>
          <w:rFonts w:ascii="Verdana" w:hAnsi="Verdana"/>
          <w:b/>
          <w:color w:val="182738"/>
          <w:sz w:val="18"/>
          <w:szCs w:val="18"/>
          <w:shd w:val="clear" w:color="auto" w:fill="FFFFFF"/>
          <w:lang w:val="en-ZA"/>
        </w:rPr>
        <w:t>(Issue</w:t>
      </w:r>
      <w:r w:rsidRPr="00546921">
        <w:rPr>
          <w:rFonts w:ascii="Verdana" w:hAnsi="Verdana"/>
          <w:b/>
          <w:color w:val="182738"/>
          <w:sz w:val="18"/>
          <w:szCs w:val="18"/>
          <w:shd w:val="clear" w:color="auto" w:fill="FFFFFF"/>
          <w:lang w:val="en-ZA"/>
        </w:rPr>
        <w:t xml:space="preserve"> 4</w:t>
      </w:r>
      <w:r w:rsidR="00DC7DDA">
        <w:rPr>
          <w:rFonts w:ascii="Verdana" w:hAnsi="Verdana"/>
          <w:b/>
          <w:color w:val="182738"/>
          <w:sz w:val="18"/>
          <w:szCs w:val="18"/>
          <w:shd w:val="clear" w:color="auto" w:fill="FFFFFF"/>
          <w:lang w:val="en-ZA"/>
        </w:rPr>
        <w:t>)</w:t>
      </w:r>
    </w:p>
    <w:p w:rsidR="00203185" w:rsidRPr="00546921" w:rsidRDefault="00203185" w:rsidP="00964FD0">
      <w:pPr>
        <w:overflowPunct/>
        <w:autoSpaceDE/>
        <w:autoSpaceDN/>
        <w:adjustRightInd/>
        <w:jc w:val="both"/>
        <w:textAlignment w:val="auto"/>
        <w:rPr>
          <w:rFonts w:ascii="Verdana" w:hAnsi="Verdana"/>
          <w:color w:val="182738"/>
          <w:sz w:val="18"/>
          <w:szCs w:val="18"/>
          <w:shd w:val="clear" w:color="auto" w:fill="FFFFFF"/>
          <w:lang w:val="en-ZA"/>
        </w:rPr>
      </w:pPr>
      <w:r w:rsidRPr="00546921">
        <w:rPr>
          <w:rFonts w:ascii="Verdana" w:hAnsi="Verdana"/>
          <w:b/>
          <w:color w:val="182738"/>
          <w:sz w:val="18"/>
          <w:szCs w:val="18"/>
          <w:shd w:val="clear" w:color="auto" w:fill="FFFFFF"/>
          <w:lang w:val="en-ZA"/>
        </w:rPr>
        <w:t>Date:</w:t>
      </w:r>
      <w:r w:rsidRPr="00546921">
        <w:rPr>
          <w:rFonts w:ascii="Verdana" w:hAnsi="Verdana"/>
          <w:color w:val="182738"/>
          <w:sz w:val="18"/>
          <w:szCs w:val="18"/>
          <w:shd w:val="clear" w:color="auto" w:fill="FFFFFF"/>
          <w:lang w:val="en-ZA"/>
        </w:rPr>
        <w:t xml:space="preserve"> 6 November 2012</w:t>
      </w:r>
    </w:p>
    <w:p w:rsidR="00203185" w:rsidRPr="00546921" w:rsidRDefault="00203185" w:rsidP="00964FD0">
      <w:pPr>
        <w:overflowPunct/>
        <w:autoSpaceDE/>
        <w:autoSpaceDN/>
        <w:adjustRightInd/>
        <w:jc w:val="both"/>
        <w:textAlignment w:val="auto"/>
        <w:rPr>
          <w:rFonts w:ascii="Verdana" w:hAnsi="Verdana"/>
          <w:color w:val="182738"/>
          <w:sz w:val="18"/>
          <w:szCs w:val="18"/>
          <w:shd w:val="clear" w:color="auto" w:fill="FFFFFF"/>
          <w:lang w:val="en-ZA"/>
        </w:rPr>
      </w:pPr>
      <w:r w:rsidRPr="00546921">
        <w:rPr>
          <w:rFonts w:ascii="Verdana" w:hAnsi="Verdana"/>
          <w:b/>
          <w:color w:val="182738"/>
          <w:sz w:val="18"/>
          <w:szCs w:val="18"/>
          <w:shd w:val="clear" w:color="auto" w:fill="FFFFFF"/>
          <w:lang w:val="en-ZA"/>
        </w:rPr>
        <w:t>Affected legislation</w:t>
      </w:r>
      <w:r w:rsidRPr="00546921">
        <w:rPr>
          <w:rFonts w:ascii="Verdana" w:hAnsi="Verdana"/>
          <w:color w:val="182738"/>
          <w:sz w:val="18"/>
          <w:szCs w:val="18"/>
          <w:shd w:val="clear" w:color="auto" w:fill="FFFFFF"/>
          <w:lang w:val="en-ZA"/>
        </w:rPr>
        <w:t>: Income Tax Act 58 of 1962</w:t>
      </w:r>
    </w:p>
    <w:p w:rsidR="00203185" w:rsidRPr="00964FD0" w:rsidRDefault="00203185" w:rsidP="00964FD0">
      <w:pPr>
        <w:overflowPunct/>
        <w:autoSpaceDE/>
        <w:autoSpaceDN/>
        <w:adjustRightInd/>
        <w:jc w:val="both"/>
        <w:textAlignment w:val="auto"/>
        <w:rPr>
          <w:rFonts w:ascii="Verdana" w:hAnsi="Verdana"/>
          <w:color w:val="182738"/>
          <w:sz w:val="18"/>
          <w:szCs w:val="18"/>
          <w:shd w:val="clear" w:color="auto" w:fill="FFFFFF"/>
          <w:lang w:val="en-ZA"/>
        </w:rPr>
      </w:pPr>
      <w:r w:rsidRPr="00546921">
        <w:rPr>
          <w:rFonts w:ascii="Verdana" w:hAnsi="Verdana"/>
          <w:b/>
          <w:color w:val="182738"/>
          <w:sz w:val="18"/>
          <w:szCs w:val="18"/>
          <w:shd w:val="clear" w:color="auto" w:fill="FFFFFF"/>
          <w:lang w:val="en-ZA"/>
        </w:rPr>
        <w:t>Provisions:</w:t>
      </w:r>
      <w:r w:rsidR="00964FD0" w:rsidRPr="00546921">
        <w:rPr>
          <w:rFonts w:ascii="Verdana" w:hAnsi="Verdana"/>
          <w:sz w:val="18"/>
          <w:szCs w:val="18"/>
        </w:rPr>
        <w:t xml:space="preserve"> Sections 1(1) (para</w:t>
      </w:r>
      <w:r w:rsidRPr="00546921">
        <w:rPr>
          <w:rFonts w:ascii="Verdana" w:hAnsi="Verdana"/>
          <w:sz w:val="18"/>
          <w:szCs w:val="18"/>
        </w:rPr>
        <w:t xml:space="preserve"> (la) of the definition</w:t>
      </w:r>
      <w:r w:rsidRPr="00964FD0">
        <w:rPr>
          <w:rFonts w:ascii="Verdana" w:hAnsi="Verdana"/>
          <w:sz w:val="18"/>
          <w:szCs w:val="18"/>
        </w:rPr>
        <w:t xml:space="preserve"> of the term </w:t>
      </w:r>
      <w:r w:rsidR="00964FD0" w:rsidRPr="00964FD0">
        <w:rPr>
          <w:rFonts w:ascii="Verdana" w:hAnsi="Verdana"/>
          <w:sz w:val="18"/>
          <w:szCs w:val="18"/>
        </w:rPr>
        <w:t>‘</w:t>
      </w:r>
      <w:r w:rsidRPr="00964FD0">
        <w:rPr>
          <w:rFonts w:ascii="Verdana" w:hAnsi="Verdana"/>
          <w:sz w:val="18"/>
          <w:szCs w:val="18"/>
        </w:rPr>
        <w:t>gross income</w:t>
      </w:r>
      <w:r w:rsidR="00964FD0" w:rsidRPr="00964FD0">
        <w:rPr>
          <w:rFonts w:ascii="Verdana" w:hAnsi="Verdana"/>
          <w:sz w:val="18"/>
          <w:szCs w:val="18"/>
        </w:rPr>
        <w:t>’</w:t>
      </w:r>
      <w:r w:rsidRPr="00964FD0">
        <w:rPr>
          <w:rFonts w:ascii="Verdana" w:hAnsi="Verdana"/>
          <w:sz w:val="18"/>
          <w:szCs w:val="18"/>
        </w:rPr>
        <w:t>), 10(1</w:t>
      </w:r>
      <w:proofErr w:type="gramStart"/>
      <w:r w:rsidRPr="00964FD0">
        <w:rPr>
          <w:rFonts w:ascii="Verdana" w:hAnsi="Verdana"/>
          <w:sz w:val="18"/>
          <w:szCs w:val="18"/>
        </w:rPr>
        <w:t>)(</w:t>
      </w:r>
      <w:proofErr w:type="spellStart"/>
      <w:proofErr w:type="gramEnd"/>
      <w:r w:rsidRPr="00964FD0">
        <w:rPr>
          <w:rFonts w:ascii="Verdana" w:hAnsi="Verdana"/>
          <w:sz w:val="18"/>
          <w:szCs w:val="18"/>
        </w:rPr>
        <w:t>cN</w:t>
      </w:r>
      <w:proofErr w:type="spellEnd"/>
      <w:r w:rsidRPr="00964FD0">
        <w:rPr>
          <w:rFonts w:ascii="Verdana" w:hAnsi="Verdana"/>
          <w:sz w:val="18"/>
          <w:szCs w:val="18"/>
        </w:rPr>
        <w:t>), 11, 11E and 30 of the Act</w:t>
      </w:r>
    </w:p>
    <w:p w:rsidR="00964FD0" w:rsidRPr="00964FD0" w:rsidRDefault="00964FD0" w:rsidP="00964FD0">
      <w:pPr>
        <w:overflowPunct/>
        <w:autoSpaceDE/>
        <w:autoSpaceDN/>
        <w:adjustRightInd/>
        <w:jc w:val="both"/>
        <w:textAlignment w:val="auto"/>
        <w:rPr>
          <w:rFonts w:ascii="Verdana" w:hAnsi="Verdana"/>
          <w:b/>
          <w:color w:val="182738"/>
          <w:sz w:val="18"/>
          <w:szCs w:val="18"/>
          <w:shd w:val="clear" w:color="auto" w:fill="FFFFFF"/>
          <w:lang w:val="en-ZA"/>
        </w:rPr>
      </w:pPr>
    </w:p>
    <w:p w:rsidR="00203185" w:rsidRPr="00964FD0" w:rsidRDefault="00203185" w:rsidP="00964FD0">
      <w:pPr>
        <w:overflowPunct/>
        <w:autoSpaceDE/>
        <w:autoSpaceDN/>
        <w:adjustRightInd/>
        <w:jc w:val="both"/>
        <w:textAlignment w:val="auto"/>
        <w:rPr>
          <w:rFonts w:ascii="Verdana" w:hAnsi="Verdana"/>
          <w:sz w:val="18"/>
          <w:szCs w:val="18"/>
        </w:rPr>
      </w:pPr>
      <w:r w:rsidRPr="00964FD0">
        <w:rPr>
          <w:rFonts w:ascii="Verdana" w:hAnsi="Verdana"/>
          <w:b/>
          <w:color w:val="182738"/>
          <w:sz w:val="18"/>
          <w:szCs w:val="18"/>
          <w:shd w:val="clear" w:color="auto" w:fill="FFFFFF"/>
          <w:lang w:val="en-ZA"/>
        </w:rPr>
        <w:t>Executive summary:</w:t>
      </w:r>
      <w:r w:rsidR="00FD67F4" w:rsidRPr="00964FD0">
        <w:rPr>
          <w:rFonts w:ascii="Verdana" w:hAnsi="Verdana"/>
          <w:sz w:val="18"/>
          <w:szCs w:val="18"/>
        </w:rPr>
        <w:t xml:space="preserve"> This n</w:t>
      </w:r>
      <w:r w:rsidRPr="00964FD0">
        <w:rPr>
          <w:rFonts w:ascii="Verdana" w:hAnsi="Verdana"/>
          <w:sz w:val="18"/>
          <w:szCs w:val="18"/>
        </w:rPr>
        <w:t>ote provided information and guidance on the amalgamation of amateur and professional sporting bodies carried out under s 125 of the Act. The note was archived on 23 June 2015 because the conditions and requirements relating to the amalgamation</w:t>
      </w:r>
      <w:r w:rsidR="00FD67F4" w:rsidRPr="00964FD0">
        <w:rPr>
          <w:rFonts w:ascii="Verdana" w:hAnsi="Verdana"/>
          <w:sz w:val="18"/>
          <w:szCs w:val="18"/>
        </w:rPr>
        <w:t xml:space="preserve"> transactions explained in the n</w:t>
      </w:r>
      <w:r w:rsidRPr="00964FD0">
        <w:rPr>
          <w:rFonts w:ascii="Verdana" w:hAnsi="Verdana"/>
          <w:sz w:val="18"/>
          <w:szCs w:val="18"/>
        </w:rPr>
        <w:t>ote are no longer relevant.</w:t>
      </w:r>
    </w:p>
    <w:p w:rsidR="00CB7289" w:rsidRPr="00964FD0" w:rsidRDefault="00CB7289" w:rsidP="00964FD0">
      <w:pPr>
        <w:overflowPunct/>
        <w:autoSpaceDE/>
        <w:autoSpaceDN/>
        <w:adjustRightInd/>
        <w:jc w:val="both"/>
        <w:textAlignment w:val="auto"/>
        <w:rPr>
          <w:rFonts w:ascii="Verdana" w:hAnsi="Verdana"/>
          <w:sz w:val="18"/>
          <w:szCs w:val="18"/>
        </w:rPr>
      </w:pPr>
    </w:p>
    <w:p w:rsidR="00203185" w:rsidRDefault="00203185" w:rsidP="00655261">
      <w:pPr>
        <w:overflowPunct/>
        <w:autoSpaceDE/>
        <w:autoSpaceDN/>
        <w:adjustRightInd/>
        <w:jc w:val="center"/>
        <w:textAlignment w:val="auto"/>
        <w:rPr>
          <w:rFonts w:ascii="Verdana" w:hAnsi="Verdana"/>
          <w:sz w:val="18"/>
          <w:szCs w:val="18"/>
          <w:lang w:eastAsia="en-ZA"/>
        </w:rPr>
      </w:pPr>
    </w:p>
    <w:p w:rsidR="00BB3BC5" w:rsidRPr="00655261" w:rsidRDefault="00BB3BC5" w:rsidP="00655261">
      <w:pPr>
        <w:overflowPunct/>
        <w:autoSpaceDE/>
        <w:autoSpaceDN/>
        <w:adjustRightInd/>
        <w:jc w:val="center"/>
        <w:textAlignment w:val="auto"/>
        <w:rPr>
          <w:rFonts w:ascii="Verdana" w:hAnsi="Verdana"/>
          <w:sz w:val="18"/>
          <w:szCs w:val="18"/>
          <w:lang w:eastAsia="en-ZA"/>
        </w:rPr>
      </w:pPr>
    </w:p>
    <w:p w:rsidR="006E67A6" w:rsidRPr="00964FD0" w:rsidRDefault="00964FD0" w:rsidP="00655261">
      <w:pPr>
        <w:overflowPunct/>
        <w:autoSpaceDE/>
        <w:autoSpaceDN/>
        <w:adjustRightInd/>
        <w:jc w:val="center"/>
        <w:textAlignment w:val="auto"/>
        <w:rPr>
          <w:rFonts w:ascii="Verdana" w:hAnsi="Verdana"/>
          <w:b/>
          <w:i/>
          <w:color w:val="008080"/>
          <w:sz w:val="24"/>
          <w:szCs w:val="24"/>
        </w:rPr>
      </w:pPr>
      <w:r w:rsidRPr="00964FD0">
        <w:rPr>
          <w:rFonts w:ascii="Verdana" w:hAnsi="Verdana"/>
          <w:b/>
          <w:i/>
          <w:color w:val="008080"/>
          <w:sz w:val="24"/>
          <w:szCs w:val="24"/>
        </w:rPr>
        <w:t>DRAFT INTERPRETATION NOTES</w:t>
      </w:r>
    </w:p>
    <w:p w:rsidR="006E67A6" w:rsidRPr="00843C8F" w:rsidRDefault="006E67A6" w:rsidP="000709F1">
      <w:pPr>
        <w:overflowPunct/>
        <w:autoSpaceDE/>
        <w:autoSpaceDN/>
        <w:adjustRightInd/>
        <w:textAlignment w:val="auto"/>
        <w:rPr>
          <w:rFonts w:ascii="Verdana" w:hAnsi="Verdana"/>
          <w:b/>
          <w:sz w:val="18"/>
          <w:szCs w:val="18"/>
          <w:lang w:val="en-ZA" w:eastAsia="en-ZA"/>
        </w:rPr>
      </w:pPr>
    </w:p>
    <w:p w:rsidR="00E47242" w:rsidRPr="00843C8F" w:rsidRDefault="00E47242" w:rsidP="000709F1">
      <w:pPr>
        <w:overflowPunct/>
        <w:autoSpaceDE/>
        <w:autoSpaceDN/>
        <w:adjustRightInd/>
        <w:textAlignment w:val="auto"/>
        <w:rPr>
          <w:rFonts w:ascii="Verdana" w:hAnsi="Verdana"/>
          <w:b/>
          <w:sz w:val="18"/>
          <w:szCs w:val="18"/>
          <w:lang w:val="en-ZA" w:eastAsia="en-ZA"/>
        </w:rPr>
      </w:pPr>
    </w:p>
    <w:p w:rsidR="00627729" w:rsidRPr="00546921" w:rsidRDefault="00627729" w:rsidP="000709F1">
      <w:pPr>
        <w:overflowPunct/>
        <w:autoSpaceDE/>
        <w:autoSpaceDN/>
        <w:adjustRightInd/>
        <w:textAlignment w:val="auto"/>
        <w:rPr>
          <w:rFonts w:ascii="Verdana" w:hAnsi="Verdana"/>
          <w:b/>
          <w:sz w:val="18"/>
          <w:szCs w:val="18"/>
        </w:rPr>
      </w:pPr>
      <w:r w:rsidRPr="00546921">
        <w:rPr>
          <w:rFonts w:ascii="Verdana" w:hAnsi="Verdana"/>
          <w:b/>
          <w:sz w:val="18"/>
          <w:szCs w:val="18"/>
        </w:rPr>
        <w:t xml:space="preserve">DRAFT INTERPRETATION NOTE 63 (Issue 2) </w:t>
      </w:r>
    </w:p>
    <w:p w:rsidR="00627729" w:rsidRPr="00546921" w:rsidRDefault="00E875A9" w:rsidP="000709F1">
      <w:pPr>
        <w:overflowPunct/>
        <w:autoSpaceDE/>
        <w:autoSpaceDN/>
        <w:adjustRightInd/>
        <w:textAlignment w:val="auto"/>
        <w:rPr>
          <w:rFonts w:ascii="Verdana" w:hAnsi="Verdana"/>
          <w:sz w:val="18"/>
          <w:szCs w:val="18"/>
        </w:rPr>
      </w:pPr>
      <w:r w:rsidRPr="00546921">
        <w:rPr>
          <w:rFonts w:ascii="Verdana" w:hAnsi="Verdana"/>
          <w:b/>
          <w:sz w:val="18"/>
          <w:szCs w:val="18"/>
        </w:rPr>
        <w:t xml:space="preserve">Effective date: </w:t>
      </w:r>
      <w:r w:rsidRPr="00546921">
        <w:rPr>
          <w:rFonts w:ascii="Verdana" w:hAnsi="Verdana"/>
          <w:sz w:val="18"/>
          <w:szCs w:val="18"/>
        </w:rPr>
        <w:t>not stated</w:t>
      </w:r>
      <w:r w:rsidR="00627729" w:rsidRPr="00546921">
        <w:rPr>
          <w:rFonts w:ascii="Verdana" w:hAnsi="Verdana"/>
          <w:sz w:val="18"/>
          <w:szCs w:val="18"/>
        </w:rPr>
        <w:t xml:space="preserve"> </w:t>
      </w:r>
    </w:p>
    <w:p w:rsidR="00627729" w:rsidRPr="00546921" w:rsidRDefault="00E875A9" w:rsidP="000709F1">
      <w:pPr>
        <w:overflowPunct/>
        <w:autoSpaceDE/>
        <w:autoSpaceDN/>
        <w:adjustRightInd/>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Income Tax Act 58 of 1962</w:t>
      </w:r>
    </w:p>
    <w:p w:rsidR="00843C8F" w:rsidRPr="00546921" w:rsidRDefault="00E875A9" w:rsidP="000709F1">
      <w:pPr>
        <w:overflowPunct/>
        <w:autoSpaceDE/>
        <w:autoSpaceDN/>
        <w:adjustRightInd/>
        <w:textAlignment w:val="auto"/>
        <w:rPr>
          <w:rFonts w:ascii="Verdana" w:hAnsi="Verdana"/>
          <w:sz w:val="18"/>
          <w:szCs w:val="18"/>
        </w:rPr>
      </w:pPr>
      <w:r w:rsidRPr="00546921">
        <w:rPr>
          <w:rFonts w:ascii="Verdana" w:hAnsi="Verdana"/>
          <w:b/>
          <w:sz w:val="18"/>
          <w:szCs w:val="18"/>
        </w:rPr>
        <w:t xml:space="preserve">Provisions: </w:t>
      </w:r>
      <w:r w:rsidR="00843C8F" w:rsidRPr="00546921">
        <w:rPr>
          <w:rFonts w:ascii="Verdana" w:hAnsi="Verdana"/>
          <w:sz w:val="18"/>
          <w:szCs w:val="18"/>
        </w:rPr>
        <w:t>S</w:t>
      </w:r>
      <w:r w:rsidRPr="00546921">
        <w:rPr>
          <w:rFonts w:ascii="Verdana" w:hAnsi="Verdana"/>
          <w:sz w:val="18"/>
          <w:szCs w:val="18"/>
        </w:rPr>
        <w:t xml:space="preserve">ection </w:t>
      </w:r>
      <w:r w:rsidR="00627729" w:rsidRPr="00546921">
        <w:rPr>
          <w:rFonts w:ascii="Verdana" w:hAnsi="Verdana"/>
          <w:sz w:val="18"/>
          <w:szCs w:val="18"/>
        </w:rPr>
        <w:t xml:space="preserve">1(1), </w:t>
      </w:r>
      <w:proofErr w:type="gramStart"/>
      <w:r w:rsidR="00627729" w:rsidRPr="00546921">
        <w:rPr>
          <w:rFonts w:ascii="Verdana" w:hAnsi="Verdana"/>
          <w:sz w:val="18"/>
          <w:szCs w:val="18"/>
        </w:rPr>
        <w:t>6</w:t>
      </w:r>
      <w:r w:rsidR="00627729" w:rsidRPr="00546921">
        <w:rPr>
          <w:rFonts w:ascii="Verdana" w:hAnsi="Verdana"/>
          <w:i/>
          <w:sz w:val="18"/>
          <w:szCs w:val="18"/>
        </w:rPr>
        <w:t>quat</w:t>
      </w:r>
      <w:r w:rsidR="00627729" w:rsidRPr="00546921">
        <w:rPr>
          <w:rFonts w:ascii="Verdana" w:hAnsi="Verdana"/>
          <w:sz w:val="18"/>
          <w:szCs w:val="18"/>
        </w:rPr>
        <w:t>(</w:t>
      </w:r>
      <w:proofErr w:type="gramEnd"/>
      <w:r w:rsidR="00627729" w:rsidRPr="00546921">
        <w:rPr>
          <w:rFonts w:ascii="Verdana" w:hAnsi="Verdana"/>
          <w:sz w:val="18"/>
          <w:szCs w:val="18"/>
        </w:rPr>
        <w:t>4) and (4A), 6</w:t>
      </w:r>
      <w:r w:rsidR="00627729" w:rsidRPr="00546921">
        <w:rPr>
          <w:rFonts w:ascii="Verdana" w:hAnsi="Verdana"/>
          <w:i/>
          <w:sz w:val="18"/>
          <w:szCs w:val="18"/>
        </w:rPr>
        <w:t>quin</w:t>
      </w:r>
      <w:r w:rsidR="00627729" w:rsidRPr="00546921">
        <w:rPr>
          <w:rFonts w:ascii="Verdana" w:hAnsi="Verdana"/>
          <w:sz w:val="18"/>
          <w:szCs w:val="18"/>
        </w:rPr>
        <w:t xml:space="preserve">(4), 9A, 9D(6), 25D, 35A(5), 47J, 49H, 50H, 51H </w:t>
      </w:r>
      <w:r w:rsidRPr="00546921">
        <w:rPr>
          <w:rFonts w:ascii="Verdana" w:hAnsi="Verdana"/>
          <w:sz w:val="18"/>
          <w:szCs w:val="18"/>
        </w:rPr>
        <w:t>and</w:t>
      </w:r>
      <w:r w:rsidR="00627729" w:rsidRPr="00546921">
        <w:rPr>
          <w:rFonts w:ascii="Verdana" w:hAnsi="Verdana"/>
          <w:sz w:val="18"/>
          <w:szCs w:val="18"/>
        </w:rPr>
        <w:t xml:space="preserve"> 64N(4) </w:t>
      </w:r>
    </w:p>
    <w:p w:rsidR="00843C8F" w:rsidRPr="00546921" w:rsidRDefault="00843C8F" w:rsidP="000709F1">
      <w:pPr>
        <w:overflowPunct/>
        <w:autoSpaceDE/>
        <w:autoSpaceDN/>
        <w:adjustRightInd/>
        <w:textAlignment w:val="auto"/>
        <w:rPr>
          <w:rFonts w:ascii="Verdana" w:hAnsi="Verdana"/>
          <w:sz w:val="18"/>
          <w:szCs w:val="18"/>
        </w:rPr>
      </w:pPr>
    </w:p>
    <w:p w:rsidR="00627729" w:rsidRPr="00546921" w:rsidRDefault="00E875A9" w:rsidP="000709F1">
      <w:pPr>
        <w:overflowPunct/>
        <w:autoSpaceDE/>
        <w:autoSpaceDN/>
        <w:adjustRightInd/>
        <w:textAlignment w:val="auto"/>
        <w:rPr>
          <w:rFonts w:ascii="Verdana" w:hAnsi="Verdana"/>
          <w:sz w:val="18"/>
          <w:szCs w:val="18"/>
          <w:lang w:val="en-ZA" w:eastAsia="en-ZA"/>
        </w:rPr>
      </w:pPr>
      <w:r w:rsidRPr="00546921">
        <w:rPr>
          <w:rFonts w:ascii="Verdana" w:hAnsi="Verdana"/>
          <w:b/>
          <w:sz w:val="18"/>
          <w:szCs w:val="18"/>
        </w:rPr>
        <w:t xml:space="preserve">Executive summary: </w:t>
      </w:r>
      <w:r w:rsidRPr="00546921">
        <w:rPr>
          <w:rFonts w:ascii="Verdana" w:hAnsi="Verdana"/>
          <w:sz w:val="18"/>
          <w:szCs w:val="18"/>
        </w:rPr>
        <w:t xml:space="preserve">This interpretation note </w:t>
      </w:r>
      <w:r w:rsidR="00E47242" w:rsidRPr="00546921">
        <w:rPr>
          <w:rFonts w:ascii="Verdana" w:hAnsi="Verdana"/>
          <w:sz w:val="18"/>
          <w:szCs w:val="18"/>
        </w:rPr>
        <w:t>deals with</w:t>
      </w:r>
      <w:r w:rsidRPr="00546921">
        <w:rPr>
          <w:rFonts w:ascii="Verdana" w:hAnsi="Verdana"/>
          <w:sz w:val="18"/>
          <w:szCs w:val="18"/>
        </w:rPr>
        <w:t xml:space="preserve"> the rules for the translation of amounts measured in foreign currencies other than exchange</w:t>
      </w:r>
      <w:r w:rsidR="00843C8F" w:rsidRPr="00546921">
        <w:rPr>
          <w:rFonts w:ascii="Verdana" w:hAnsi="Verdana"/>
          <w:sz w:val="18"/>
          <w:szCs w:val="18"/>
        </w:rPr>
        <w:t xml:space="preserve"> differences governed by s</w:t>
      </w:r>
      <w:r w:rsidR="00627729" w:rsidRPr="00546921">
        <w:rPr>
          <w:rFonts w:ascii="Verdana" w:hAnsi="Verdana"/>
          <w:sz w:val="18"/>
          <w:szCs w:val="18"/>
        </w:rPr>
        <w:t xml:space="preserve"> 24I</w:t>
      </w:r>
      <w:r w:rsidRPr="00546921">
        <w:rPr>
          <w:rFonts w:ascii="Verdana" w:hAnsi="Verdana"/>
          <w:sz w:val="18"/>
          <w:szCs w:val="18"/>
        </w:rPr>
        <w:t>.</w:t>
      </w:r>
    </w:p>
    <w:p w:rsidR="00627729" w:rsidRPr="00546921" w:rsidRDefault="00627729" w:rsidP="000709F1">
      <w:pPr>
        <w:overflowPunct/>
        <w:autoSpaceDE/>
        <w:autoSpaceDN/>
        <w:adjustRightInd/>
        <w:textAlignment w:val="auto"/>
        <w:rPr>
          <w:rFonts w:ascii="Verdana" w:hAnsi="Verdana"/>
          <w:sz w:val="18"/>
          <w:szCs w:val="18"/>
          <w:lang w:val="en-ZA" w:eastAsia="en-ZA"/>
        </w:rPr>
      </w:pPr>
    </w:p>
    <w:p w:rsidR="00627729" w:rsidRPr="00546921" w:rsidRDefault="00627729" w:rsidP="006D2F92">
      <w:pPr>
        <w:overflowPunct/>
        <w:autoSpaceDE/>
        <w:autoSpaceDN/>
        <w:adjustRightInd/>
        <w:jc w:val="both"/>
        <w:textAlignment w:val="auto"/>
        <w:rPr>
          <w:rFonts w:ascii="Verdana" w:hAnsi="Verdana"/>
          <w:sz w:val="18"/>
          <w:szCs w:val="18"/>
          <w:lang w:val="en-ZA" w:eastAsia="en-ZA"/>
        </w:rPr>
      </w:pPr>
    </w:p>
    <w:p w:rsidR="006E67A6" w:rsidRPr="00546921" w:rsidRDefault="006E67A6" w:rsidP="006D2F92">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DRAFT INTERPRETATION NOTE </w:t>
      </w:r>
    </w:p>
    <w:p w:rsidR="006E67A6" w:rsidRPr="00546921" w:rsidRDefault="00E875A9"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Pr="00546921">
        <w:rPr>
          <w:rFonts w:ascii="Verdana" w:hAnsi="Verdana"/>
          <w:sz w:val="18"/>
          <w:szCs w:val="18"/>
        </w:rPr>
        <w:t>not stated</w:t>
      </w:r>
      <w:r w:rsidR="006E67A6" w:rsidRPr="00546921">
        <w:rPr>
          <w:rFonts w:ascii="Verdana" w:hAnsi="Verdana"/>
          <w:sz w:val="18"/>
          <w:szCs w:val="18"/>
        </w:rPr>
        <w:t xml:space="preserve"> </w:t>
      </w:r>
    </w:p>
    <w:p w:rsidR="006E67A6" w:rsidRPr="006D2F92" w:rsidRDefault="00E875A9"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Income Tax Act 58</w:t>
      </w:r>
      <w:r w:rsidRPr="006D2F92">
        <w:rPr>
          <w:rFonts w:ascii="Verdana" w:hAnsi="Verdana"/>
          <w:sz w:val="18"/>
          <w:szCs w:val="18"/>
        </w:rPr>
        <w:t xml:space="preserve"> of</w:t>
      </w:r>
      <w:r w:rsidR="006E67A6" w:rsidRPr="006D2F92">
        <w:rPr>
          <w:rFonts w:ascii="Verdana" w:hAnsi="Verdana"/>
          <w:sz w:val="18"/>
          <w:szCs w:val="18"/>
        </w:rPr>
        <w:t xml:space="preserve"> 1962 </w:t>
      </w:r>
    </w:p>
    <w:p w:rsidR="006E67A6" w:rsidRPr="006D2F92" w:rsidRDefault="00E875A9" w:rsidP="006D2F92">
      <w:pPr>
        <w:overflowPunct/>
        <w:autoSpaceDE/>
        <w:autoSpaceDN/>
        <w:adjustRightInd/>
        <w:jc w:val="both"/>
        <w:textAlignment w:val="auto"/>
        <w:rPr>
          <w:rFonts w:ascii="Verdana" w:hAnsi="Verdana"/>
          <w:sz w:val="18"/>
          <w:szCs w:val="18"/>
        </w:rPr>
      </w:pPr>
      <w:r w:rsidRPr="006D2F92">
        <w:rPr>
          <w:rFonts w:ascii="Verdana" w:hAnsi="Verdana"/>
          <w:b/>
          <w:sz w:val="18"/>
          <w:szCs w:val="18"/>
        </w:rPr>
        <w:t>Provisions</w:t>
      </w:r>
      <w:r w:rsidRPr="006D2F92">
        <w:rPr>
          <w:rFonts w:ascii="Verdana" w:hAnsi="Verdana"/>
          <w:sz w:val="18"/>
          <w:szCs w:val="18"/>
        </w:rPr>
        <w:t xml:space="preserve">: </w:t>
      </w:r>
      <w:r w:rsidR="006D2F92" w:rsidRPr="006D2F92">
        <w:rPr>
          <w:rFonts w:ascii="Verdana" w:hAnsi="Verdana"/>
          <w:sz w:val="18"/>
          <w:szCs w:val="18"/>
        </w:rPr>
        <w:t>S</w:t>
      </w:r>
      <w:r w:rsidRPr="006D2F92">
        <w:rPr>
          <w:rFonts w:ascii="Verdana" w:hAnsi="Verdana"/>
          <w:sz w:val="18"/>
          <w:szCs w:val="18"/>
        </w:rPr>
        <w:t>ection</w:t>
      </w:r>
      <w:r w:rsidR="006E67A6" w:rsidRPr="006D2F92">
        <w:rPr>
          <w:rFonts w:ascii="Verdana" w:hAnsi="Verdana"/>
          <w:sz w:val="18"/>
          <w:szCs w:val="18"/>
        </w:rPr>
        <w:t xml:space="preserve"> 7(11) </w:t>
      </w:r>
    </w:p>
    <w:p w:rsidR="006D2F92" w:rsidRPr="006D2F92" w:rsidRDefault="006D2F92" w:rsidP="006D2F92">
      <w:pPr>
        <w:overflowPunct/>
        <w:autoSpaceDE/>
        <w:autoSpaceDN/>
        <w:adjustRightInd/>
        <w:jc w:val="both"/>
        <w:textAlignment w:val="auto"/>
        <w:rPr>
          <w:rFonts w:ascii="Verdana" w:hAnsi="Verdana"/>
          <w:b/>
          <w:sz w:val="18"/>
          <w:szCs w:val="18"/>
        </w:rPr>
      </w:pPr>
    </w:p>
    <w:p w:rsidR="00627729" w:rsidRPr="006D2F92" w:rsidRDefault="00E875A9" w:rsidP="006D2F92">
      <w:pPr>
        <w:overflowPunct/>
        <w:autoSpaceDE/>
        <w:autoSpaceDN/>
        <w:adjustRightInd/>
        <w:jc w:val="both"/>
        <w:textAlignment w:val="auto"/>
        <w:rPr>
          <w:rFonts w:ascii="Verdana" w:hAnsi="Verdana"/>
          <w:sz w:val="18"/>
          <w:szCs w:val="18"/>
          <w:lang w:val="en-ZA" w:eastAsia="en-ZA"/>
        </w:rPr>
      </w:pPr>
      <w:r w:rsidRPr="006D2F92">
        <w:rPr>
          <w:rFonts w:ascii="Verdana" w:hAnsi="Verdana"/>
          <w:b/>
          <w:sz w:val="18"/>
          <w:szCs w:val="18"/>
        </w:rPr>
        <w:t xml:space="preserve">Executive summary: </w:t>
      </w:r>
      <w:r w:rsidR="006E67A6" w:rsidRPr="006D2F92">
        <w:rPr>
          <w:rFonts w:ascii="Verdana" w:hAnsi="Verdana"/>
          <w:sz w:val="18"/>
          <w:szCs w:val="18"/>
        </w:rPr>
        <w:t xml:space="preserve">This </w:t>
      </w:r>
      <w:r w:rsidR="00E47242" w:rsidRPr="006D2F92">
        <w:rPr>
          <w:rFonts w:ascii="Verdana" w:hAnsi="Verdana"/>
          <w:sz w:val="18"/>
          <w:szCs w:val="18"/>
        </w:rPr>
        <w:t>n</w:t>
      </w:r>
      <w:r w:rsidR="006E67A6" w:rsidRPr="006D2F92">
        <w:rPr>
          <w:rFonts w:ascii="Verdana" w:hAnsi="Verdana"/>
          <w:sz w:val="18"/>
          <w:szCs w:val="18"/>
        </w:rPr>
        <w:t xml:space="preserve">ote </w:t>
      </w:r>
      <w:r w:rsidRPr="006D2F92">
        <w:rPr>
          <w:rFonts w:ascii="Verdana" w:hAnsi="Verdana"/>
          <w:sz w:val="18"/>
          <w:szCs w:val="18"/>
        </w:rPr>
        <w:t xml:space="preserve">will </w:t>
      </w:r>
      <w:r w:rsidR="006E67A6" w:rsidRPr="006D2F92">
        <w:rPr>
          <w:rFonts w:ascii="Verdana" w:hAnsi="Verdana"/>
          <w:sz w:val="18"/>
          <w:szCs w:val="18"/>
        </w:rPr>
        <w:t xml:space="preserve">provide guidance and clarity on the treatment of maintenance orders and the tax-on-tax principle relating to maintenance orders that retirement funds pay while a member is still a contributing member and has not left the retirement fund. General Note 37 dated 31 October 2008 </w:t>
      </w:r>
      <w:r w:rsidRPr="006D2F92">
        <w:rPr>
          <w:rFonts w:ascii="Verdana" w:hAnsi="Verdana"/>
          <w:sz w:val="18"/>
          <w:szCs w:val="18"/>
        </w:rPr>
        <w:t>will simultaneously be</w:t>
      </w:r>
      <w:r w:rsidR="006E67A6" w:rsidRPr="006D2F92">
        <w:rPr>
          <w:rFonts w:ascii="Verdana" w:hAnsi="Verdana"/>
          <w:sz w:val="18"/>
          <w:szCs w:val="18"/>
        </w:rPr>
        <w:t xml:space="preserve"> withdrawn.</w:t>
      </w:r>
    </w:p>
    <w:p w:rsidR="00E47242" w:rsidRPr="006D2F92" w:rsidRDefault="00E47242" w:rsidP="006D2F92">
      <w:pPr>
        <w:overflowPunct/>
        <w:autoSpaceDE/>
        <w:autoSpaceDN/>
        <w:adjustRightInd/>
        <w:jc w:val="both"/>
        <w:textAlignment w:val="auto"/>
        <w:rPr>
          <w:rFonts w:ascii="Verdana" w:hAnsi="Verdana"/>
          <w:sz w:val="18"/>
          <w:szCs w:val="18"/>
          <w:lang w:val="en-ZA" w:eastAsia="en-ZA"/>
        </w:rPr>
      </w:pPr>
    </w:p>
    <w:p w:rsidR="00EF3FB4" w:rsidRPr="006D2F92" w:rsidRDefault="00EF3FB4" w:rsidP="006D2F92">
      <w:pPr>
        <w:overflowPunct/>
        <w:autoSpaceDE/>
        <w:autoSpaceDN/>
        <w:adjustRightInd/>
        <w:jc w:val="both"/>
        <w:textAlignment w:val="auto"/>
        <w:rPr>
          <w:rFonts w:ascii="Verdana" w:hAnsi="Verdana"/>
          <w:sz w:val="18"/>
          <w:szCs w:val="18"/>
          <w:lang w:val="en-ZA" w:eastAsia="en-ZA"/>
        </w:rPr>
      </w:pPr>
    </w:p>
    <w:p w:rsidR="002F2E83" w:rsidRDefault="002F2E83" w:rsidP="006D2F92">
      <w:pPr>
        <w:overflowPunct/>
        <w:autoSpaceDE/>
        <w:autoSpaceDN/>
        <w:adjustRightInd/>
        <w:jc w:val="both"/>
        <w:textAlignment w:val="auto"/>
        <w:rPr>
          <w:rFonts w:ascii="Verdana" w:hAnsi="Verdana"/>
          <w:b/>
          <w:sz w:val="18"/>
          <w:szCs w:val="18"/>
          <w:highlight w:val="yellow"/>
        </w:rPr>
      </w:pPr>
    </w:p>
    <w:p w:rsidR="002F2E83" w:rsidRDefault="002F2E83" w:rsidP="006D2F92">
      <w:pPr>
        <w:overflowPunct/>
        <w:autoSpaceDE/>
        <w:autoSpaceDN/>
        <w:adjustRightInd/>
        <w:jc w:val="both"/>
        <w:textAlignment w:val="auto"/>
        <w:rPr>
          <w:rFonts w:ascii="Verdana" w:hAnsi="Verdana"/>
          <w:b/>
          <w:sz w:val="18"/>
          <w:szCs w:val="18"/>
          <w:highlight w:val="yellow"/>
        </w:rPr>
      </w:pPr>
    </w:p>
    <w:p w:rsidR="00E875A9" w:rsidRPr="00546921" w:rsidRDefault="00EF3FB4" w:rsidP="006D2F92">
      <w:pPr>
        <w:overflowPunct/>
        <w:autoSpaceDE/>
        <w:autoSpaceDN/>
        <w:adjustRightInd/>
        <w:jc w:val="both"/>
        <w:textAlignment w:val="auto"/>
        <w:rPr>
          <w:rFonts w:ascii="Verdana" w:hAnsi="Verdana"/>
          <w:b/>
          <w:sz w:val="18"/>
          <w:szCs w:val="18"/>
        </w:rPr>
      </w:pPr>
      <w:r w:rsidRPr="00546921">
        <w:rPr>
          <w:rFonts w:ascii="Verdana" w:hAnsi="Verdana"/>
          <w:b/>
          <w:sz w:val="18"/>
          <w:szCs w:val="18"/>
        </w:rPr>
        <w:t>DRAFT INTERPRETATION NOTE</w:t>
      </w:r>
    </w:p>
    <w:p w:rsidR="00E875A9" w:rsidRPr="00546921" w:rsidRDefault="00E875A9"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00EF3FB4" w:rsidRPr="00546921">
        <w:rPr>
          <w:rFonts w:ascii="Verdana" w:hAnsi="Verdana"/>
          <w:sz w:val="18"/>
          <w:szCs w:val="18"/>
        </w:rPr>
        <w:t xml:space="preserve"> </w:t>
      </w:r>
      <w:r w:rsidRPr="00546921">
        <w:rPr>
          <w:rFonts w:ascii="Verdana" w:hAnsi="Verdana"/>
          <w:sz w:val="18"/>
          <w:szCs w:val="18"/>
        </w:rPr>
        <w:t>not stated</w:t>
      </w:r>
    </w:p>
    <w:p w:rsidR="00E875A9" w:rsidRPr="00546921" w:rsidRDefault="00E875A9"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Income Tax Act 58 of 1962</w:t>
      </w:r>
      <w:r w:rsidR="00EF3FB4" w:rsidRPr="00546921">
        <w:rPr>
          <w:rFonts w:ascii="Verdana" w:hAnsi="Verdana"/>
          <w:sz w:val="18"/>
          <w:szCs w:val="18"/>
        </w:rPr>
        <w:t xml:space="preserve"> </w:t>
      </w:r>
    </w:p>
    <w:p w:rsidR="00E875A9" w:rsidRPr="00546921" w:rsidRDefault="00E875A9"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lastRenderedPageBreak/>
        <w:t xml:space="preserve">Provisions: </w:t>
      </w:r>
      <w:r w:rsidR="006D2F92" w:rsidRPr="00546921">
        <w:rPr>
          <w:rFonts w:ascii="Verdana" w:hAnsi="Verdana"/>
          <w:sz w:val="18"/>
          <w:szCs w:val="18"/>
        </w:rPr>
        <w:t>S</w:t>
      </w:r>
      <w:r w:rsidRPr="00546921">
        <w:rPr>
          <w:rFonts w:ascii="Verdana" w:hAnsi="Verdana"/>
          <w:sz w:val="18"/>
          <w:szCs w:val="18"/>
        </w:rPr>
        <w:t xml:space="preserve">ection </w:t>
      </w:r>
      <w:r w:rsidR="006D2F92" w:rsidRPr="00546921">
        <w:rPr>
          <w:rFonts w:ascii="Verdana" w:hAnsi="Verdana"/>
          <w:sz w:val="18"/>
          <w:szCs w:val="18"/>
        </w:rPr>
        <w:t>1(1),</w:t>
      </w:r>
      <w:r w:rsidR="00EF3FB4" w:rsidRPr="00546921">
        <w:rPr>
          <w:rFonts w:ascii="Verdana" w:hAnsi="Verdana"/>
          <w:sz w:val="18"/>
          <w:szCs w:val="18"/>
        </w:rPr>
        <w:t xml:space="preserve"> </w:t>
      </w:r>
      <w:r w:rsidRPr="00546921">
        <w:rPr>
          <w:rFonts w:ascii="Verdana" w:hAnsi="Verdana"/>
          <w:sz w:val="18"/>
          <w:szCs w:val="18"/>
        </w:rPr>
        <w:t xml:space="preserve">definition of </w:t>
      </w:r>
      <w:r w:rsidR="006D2F92" w:rsidRPr="00546921">
        <w:rPr>
          <w:rFonts w:ascii="Verdana" w:hAnsi="Verdana"/>
          <w:sz w:val="18"/>
          <w:szCs w:val="18"/>
        </w:rPr>
        <w:t>‘</w:t>
      </w:r>
      <w:r w:rsidRPr="00546921">
        <w:rPr>
          <w:rFonts w:ascii="Verdana" w:hAnsi="Verdana"/>
          <w:sz w:val="18"/>
          <w:szCs w:val="18"/>
        </w:rPr>
        <w:t>headquarter company</w:t>
      </w:r>
      <w:r w:rsidR="006D2F92" w:rsidRPr="00546921">
        <w:rPr>
          <w:rFonts w:ascii="Verdana" w:hAnsi="Verdana"/>
          <w:sz w:val="18"/>
          <w:szCs w:val="18"/>
        </w:rPr>
        <w:t>’</w:t>
      </w:r>
      <w:r w:rsidR="00EF3FB4" w:rsidRPr="00546921">
        <w:rPr>
          <w:rFonts w:ascii="Verdana" w:hAnsi="Verdana"/>
          <w:sz w:val="18"/>
          <w:szCs w:val="18"/>
        </w:rPr>
        <w:t>, 6</w:t>
      </w:r>
      <w:r w:rsidR="00EF3FB4" w:rsidRPr="00546921">
        <w:rPr>
          <w:rFonts w:ascii="Verdana" w:hAnsi="Verdana"/>
          <w:i/>
          <w:sz w:val="18"/>
          <w:szCs w:val="18"/>
        </w:rPr>
        <w:t>quat</w:t>
      </w:r>
      <w:r w:rsidR="00EF3FB4" w:rsidRPr="00546921">
        <w:rPr>
          <w:rFonts w:ascii="Verdana" w:hAnsi="Verdana"/>
          <w:sz w:val="18"/>
          <w:szCs w:val="18"/>
        </w:rPr>
        <w:t xml:space="preserve">(1A) </w:t>
      </w:r>
      <w:r w:rsidRPr="00546921">
        <w:rPr>
          <w:rFonts w:ascii="Verdana" w:hAnsi="Verdana"/>
          <w:sz w:val="18"/>
          <w:szCs w:val="18"/>
        </w:rPr>
        <w:t xml:space="preserve">and </w:t>
      </w:r>
      <w:r w:rsidR="00EF3FB4" w:rsidRPr="00546921">
        <w:rPr>
          <w:rFonts w:ascii="Verdana" w:hAnsi="Verdana"/>
          <w:sz w:val="18"/>
          <w:szCs w:val="18"/>
        </w:rPr>
        <w:t>(1C), 6</w:t>
      </w:r>
      <w:r w:rsidR="00EF3FB4" w:rsidRPr="00546921">
        <w:rPr>
          <w:rFonts w:ascii="Verdana" w:hAnsi="Verdana"/>
          <w:i/>
          <w:sz w:val="18"/>
          <w:szCs w:val="18"/>
        </w:rPr>
        <w:t>quin</w:t>
      </w:r>
      <w:r w:rsidR="00EF3FB4" w:rsidRPr="00546921">
        <w:rPr>
          <w:rFonts w:ascii="Verdana" w:hAnsi="Verdana"/>
          <w:sz w:val="18"/>
          <w:szCs w:val="18"/>
        </w:rPr>
        <w:t>(1), 9D(2), 9H, 9I, 10(1)</w:t>
      </w:r>
      <w:r w:rsidR="00EF3FB4" w:rsidRPr="00546921">
        <w:rPr>
          <w:rFonts w:ascii="Verdana" w:hAnsi="Verdana"/>
          <w:i/>
          <w:sz w:val="18"/>
          <w:szCs w:val="18"/>
        </w:rPr>
        <w:t>(k)</w:t>
      </w:r>
      <w:r w:rsidR="00EF3FB4" w:rsidRPr="00546921">
        <w:rPr>
          <w:rFonts w:ascii="Verdana" w:hAnsi="Verdana"/>
          <w:sz w:val="18"/>
          <w:szCs w:val="18"/>
        </w:rPr>
        <w:t>(</w:t>
      </w:r>
      <w:proofErr w:type="spellStart"/>
      <w:r w:rsidR="00EF3FB4" w:rsidRPr="00546921">
        <w:rPr>
          <w:rFonts w:ascii="Verdana" w:hAnsi="Verdana"/>
          <w:sz w:val="18"/>
          <w:szCs w:val="18"/>
        </w:rPr>
        <w:t>i</w:t>
      </w:r>
      <w:proofErr w:type="spellEnd"/>
      <w:r w:rsidR="00EF3FB4" w:rsidRPr="00546921">
        <w:rPr>
          <w:rFonts w:ascii="Verdana" w:hAnsi="Verdana"/>
          <w:sz w:val="18"/>
          <w:szCs w:val="18"/>
        </w:rPr>
        <w:t>), 10B, 20C, 24I(3</w:t>
      </w:r>
      <w:r w:rsidR="00A72E2D" w:rsidRPr="00546921">
        <w:rPr>
          <w:rFonts w:ascii="Verdana" w:hAnsi="Verdana"/>
          <w:sz w:val="18"/>
          <w:szCs w:val="18"/>
        </w:rPr>
        <w:t>), 25D(4) and (7), 31(5), 41(1)</w:t>
      </w:r>
      <w:r w:rsidRPr="00546921">
        <w:rPr>
          <w:rFonts w:ascii="Verdana" w:hAnsi="Verdana"/>
          <w:sz w:val="18"/>
          <w:szCs w:val="18"/>
        </w:rPr>
        <w:t xml:space="preserve">, </w:t>
      </w:r>
      <w:r w:rsidR="00EF3FB4" w:rsidRPr="00546921">
        <w:rPr>
          <w:rFonts w:ascii="Verdana" w:hAnsi="Verdana"/>
          <w:sz w:val="18"/>
          <w:szCs w:val="18"/>
        </w:rPr>
        <w:t>49D</w:t>
      </w:r>
      <w:r w:rsidR="00EF3FB4" w:rsidRPr="00546921">
        <w:rPr>
          <w:rFonts w:ascii="Verdana" w:hAnsi="Verdana"/>
          <w:i/>
          <w:sz w:val="18"/>
          <w:szCs w:val="18"/>
        </w:rPr>
        <w:t>(c)</w:t>
      </w:r>
      <w:r w:rsidR="00EF3FB4" w:rsidRPr="00546921">
        <w:rPr>
          <w:rFonts w:ascii="Verdana" w:hAnsi="Verdana"/>
          <w:sz w:val="18"/>
          <w:szCs w:val="18"/>
        </w:rPr>
        <w:t>, 50D(1)</w:t>
      </w:r>
      <w:r w:rsidR="00EF3FB4" w:rsidRPr="00546921">
        <w:rPr>
          <w:rFonts w:ascii="Verdana" w:hAnsi="Verdana"/>
          <w:i/>
          <w:sz w:val="18"/>
          <w:szCs w:val="18"/>
        </w:rPr>
        <w:t>(a)</w:t>
      </w:r>
      <w:r w:rsidR="00EF3FB4" w:rsidRPr="00546921">
        <w:rPr>
          <w:rFonts w:ascii="Verdana" w:hAnsi="Verdana"/>
          <w:sz w:val="18"/>
          <w:szCs w:val="18"/>
        </w:rPr>
        <w:t>(</w:t>
      </w:r>
      <w:proofErr w:type="spellStart"/>
      <w:r w:rsidR="00EF3FB4" w:rsidRPr="00546921">
        <w:rPr>
          <w:rFonts w:ascii="Verdana" w:hAnsi="Verdana"/>
          <w:sz w:val="18"/>
          <w:szCs w:val="18"/>
        </w:rPr>
        <w:t>i</w:t>
      </w:r>
      <w:proofErr w:type="spellEnd"/>
      <w:r w:rsidR="00EF3FB4" w:rsidRPr="00546921">
        <w:rPr>
          <w:rFonts w:ascii="Verdana" w:hAnsi="Verdana"/>
          <w:sz w:val="18"/>
          <w:szCs w:val="18"/>
        </w:rPr>
        <w:t>)</w:t>
      </w:r>
      <w:r w:rsidR="00EF3FB4" w:rsidRPr="00546921">
        <w:rPr>
          <w:rFonts w:ascii="Verdana" w:hAnsi="Verdana"/>
          <w:i/>
          <w:sz w:val="18"/>
          <w:szCs w:val="18"/>
        </w:rPr>
        <w:t>(cc)</w:t>
      </w:r>
      <w:r w:rsidR="00EF3FB4" w:rsidRPr="00546921">
        <w:rPr>
          <w:rFonts w:ascii="Verdana" w:hAnsi="Verdana"/>
          <w:sz w:val="18"/>
          <w:szCs w:val="18"/>
        </w:rPr>
        <w:t xml:space="preserve">, 64E(1) </w:t>
      </w:r>
      <w:r w:rsidRPr="00546921">
        <w:rPr>
          <w:rFonts w:ascii="Verdana" w:hAnsi="Verdana"/>
          <w:sz w:val="18"/>
          <w:szCs w:val="18"/>
        </w:rPr>
        <w:t>and</w:t>
      </w:r>
      <w:r w:rsidR="00EF3FB4" w:rsidRPr="00546921">
        <w:rPr>
          <w:rFonts w:ascii="Verdana" w:hAnsi="Verdana"/>
          <w:sz w:val="18"/>
          <w:szCs w:val="18"/>
        </w:rPr>
        <w:t xml:space="preserve"> 64J(2); </w:t>
      </w:r>
      <w:r w:rsidR="00FD67F4" w:rsidRPr="00546921">
        <w:rPr>
          <w:rFonts w:ascii="Verdana" w:hAnsi="Verdana"/>
          <w:sz w:val="18"/>
          <w:szCs w:val="18"/>
        </w:rPr>
        <w:t>and</w:t>
      </w:r>
      <w:r w:rsidR="00EF3FB4" w:rsidRPr="00546921">
        <w:rPr>
          <w:rFonts w:ascii="Verdana" w:hAnsi="Verdana"/>
          <w:sz w:val="18"/>
          <w:szCs w:val="18"/>
        </w:rPr>
        <w:t xml:space="preserve"> </w:t>
      </w:r>
      <w:r w:rsidRPr="00546921">
        <w:rPr>
          <w:rFonts w:ascii="Verdana" w:hAnsi="Verdana"/>
          <w:sz w:val="18"/>
          <w:szCs w:val="18"/>
        </w:rPr>
        <w:t>paras</w:t>
      </w:r>
      <w:r w:rsidR="00EF3FB4" w:rsidRPr="00546921">
        <w:rPr>
          <w:rFonts w:ascii="Verdana" w:hAnsi="Verdana"/>
          <w:sz w:val="18"/>
          <w:szCs w:val="18"/>
        </w:rPr>
        <w:t xml:space="preserve"> 11(2)</w:t>
      </w:r>
      <w:r w:rsidR="00EF3FB4" w:rsidRPr="00546921">
        <w:rPr>
          <w:rFonts w:ascii="Verdana" w:hAnsi="Verdana"/>
          <w:i/>
          <w:sz w:val="18"/>
          <w:szCs w:val="18"/>
        </w:rPr>
        <w:t>(b)</w:t>
      </w:r>
      <w:r w:rsidR="00EF3FB4" w:rsidRPr="00546921">
        <w:rPr>
          <w:rFonts w:ascii="Verdana" w:hAnsi="Verdana"/>
          <w:sz w:val="18"/>
          <w:szCs w:val="18"/>
        </w:rPr>
        <w:t xml:space="preserve">, 43(1A) </w:t>
      </w:r>
      <w:r w:rsidRPr="00546921">
        <w:rPr>
          <w:rFonts w:ascii="Verdana" w:hAnsi="Verdana"/>
          <w:sz w:val="18"/>
          <w:szCs w:val="18"/>
        </w:rPr>
        <w:t>and</w:t>
      </w:r>
      <w:r w:rsidR="00EF3FB4" w:rsidRPr="00546921">
        <w:rPr>
          <w:rFonts w:ascii="Verdana" w:hAnsi="Verdana"/>
          <w:sz w:val="18"/>
          <w:szCs w:val="18"/>
        </w:rPr>
        <w:t xml:space="preserve"> (6A) </w:t>
      </w:r>
      <w:r w:rsidRPr="00546921">
        <w:rPr>
          <w:rFonts w:ascii="Verdana" w:hAnsi="Verdana"/>
          <w:sz w:val="18"/>
          <w:szCs w:val="18"/>
        </w:rPr>
        <w:t>and</w:t>
      </w:r>
      <w:r w:rsidR="00EF3FB4" w:rsidRPr="00546921">
        <w:rPr>
          <w:rFonts w:ascii="Verdana" w:hAnsi="Verdana"/>
          <w:sz w:val="18"/>
          <w:szCs w:val="18"/>
        </w:rPr>
        <w:t xml:space="preserve"> 64B(2) </w:t>
      </w:r>
      <w:r w:rsidRPr="00546921">
        <w:rPr>
          <w:rFonts w:ascii="Verdana" w:hAnsi="Verdana"/>
          <w:sz w:val="18"/>
          <w:szCs w:val="18"/>
        </w:rPr>
        <w:t xml:space="preserve">and </w:t>
      </w:r>
      <w:r w:rsidR="00EF3FB4" w:rsidRPr="00546921">
        <w:rPr>
          <w:rFonts w:ascii="Verdana" w:hAnsi="Verdana"/>
          <w:sz w:val="18"/>
          <w:szCs w:val="18"/>
        </w:rPr>
        <w:t>(4)</w:t>
      </w:r>
      <w:r w:rsidR="006E6F2A" w:rsidRPr="00546921">
        <w:rPr>
          <w:rFonts w:ascii="Verdana" w:hAnsi="Verdana"/>
          <w:sz w:val="18"/>
          <w:szCs w:val="18"/>
        </w:rPr>
        <w:t xml:space="preserve"> </w:t>
      </w:r>
      <w:r w:rsidR="00A72E2D" w:rsidRPr="00546921">
        <w:rPr>
          <w:rFonts w:ascii="Verdana" w:hAnsi="Verdana"/>
          <w:sz w:val="18"/>
          <w:szCs w:val="18"/>
        </w:rPr>
        <w:t>of the Eighth Schedule</w:t>
      </w:r>
    </w:p>
    <w:p w:rsidR="006D2F92" w:rsidRPr="00546921" w:rsidRDefault="006D2F92" w:rsidP="006D2F92">
      <w:pPr>
        <w:overflowPunct/>
        <w:autoSpaceDE/>
        <w:autoSpaceDN/>
        <w:adjustRightInd/>
        <w:jc w:val="both"/>
        <w:textAlignment w:val="auto"/>
        <w:rPr>
          <w:rFonts w:ascii="Verdana" w:hAnsi="Verdana"/>
          <w:b/>
          <w:sz w:val="18"/>
          <w:szCs w:val="18"/>
        </w:rPr>
      </w:pPr>
    </w:p>
    <w:p w:rsidR="00E875A9" w:rsidRPr="00546921" w:rsidRDefault="00E875A9"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Executive summary:</w:t>
      </w:r>
      <w:r w:rsidR="004D10D6" w:rsidRPr="00546921">
        <w:rPr>
          <w:rFonts w:ascii="Verdana" w:hAnsi="Verdana"/>
          <w:sz w:val="18"/>
          <w:szCs w:val="18"/>
        </w:rPr>
        <w:t xml:space="preserve"> T</w:t>
      </w:r>
      <w:r w:rsidRPr="00546921">
        <w:rPr>
          <w:rFonts w:ascii="Verdana" w:hAnsi="Verdana"/>
          <w:sz w:val="18"/>
          <w:szCs w:val="18"/>
        </w:rPr>
        <w:t>his note concerns</w:t>
      </w:r>
      <w:r w:rsidR="00FD67F4" w:rsidRPr="00546921">
        <w:rPr>
          <w:rFonts w:ascii="Verdana" w:hAnsi="Verdana"/>
          <w:sz w:val="18"/>
          <w:szCs w:val="18"/>
        </w:rPr>
        <w:t xml:space="preserve"> aspects of</w:t>
      </w:r>
      <w:r w:rsidRPr="00546921">
        <w:rPr>
          <w:rFonts w:ascii="Verdana" w:hAnsi="Verdana"/>
          <w:sz w:val="18"/>
          <w:szCs w:val="18"/>
        </w:rPr>
        <w:t xml:space="preserve"> headquarter companies.</w:t>
      </w:r>
      <w:r w:rsidR="00EF3FB4" w:rsidRPr="00546921">
        <w:rPr>
          <w:rFonts w:ascii="Verdana" w:hAnsi="Verdana"/>
          <w:sz w:val="18"/>
          <w:szCs w:val="18"/>
        </w:rPr>
        <w:t xml:space="preserve"> </w:t>
      </w:r>
    </w:p>
    <w:p w:rsidR="0013501B" w:rsidRPr="00546921" w:rsidRDefault="0013501B" w:rsidP="006D2F92">
      <w:pPr>
        <w:overflowPunct/>
        <w:autoSpaceDE/>
        <w:autoSpaceDN/>
        <w:adjustRightInd/>
        <w:jc w:val="both"/>
        <w:textAlignment w:val="auto"/>
        <w:rPr>
          <w:rFonts w:ascii="Verdana" w:hAnsi="Verdana"/>
          <w:sz w:val="18"/>
          <w:szCs w:val="18"/>
        </w:rPr>
      </w:pPr>
    </w:p>
    <w:p w:rsidR="00EF3FB4" w:rsidRPr="00546921" w:rsidRDefault="00EF3FB4" w:rsidP="006D2F92">
      <w:pPr>
        <w:overflowPunct/>
        <w:autoSpaceDE/>
        <w:autoSpaceDN/>
        <w:adjustRightInd/>
        <w:jc w:val="both"/>
        <w:textAlignment w:val="auto"/>
        <w:rPr>
          <w:rFonts w:ascii="Verdana" w:hAnsi="Verdana"/>
          <w:sz w:val="18"/>
          <w:szCs w:val="18"/>
          <w:lang w:val="en-ZA" w:eastAsia="en-ZA"/>
        </w:rPr>
      </w:pPr>
    </w:p>
    <w:p w:rsidR="00E87ED7" w:rsidRPr="00546921" w:rsidRDefault="006820BC" w:rsidP="006D2F92">
      <w:pPr>
        <w:overflowPunct/>
        <w:autoSpaceDE/>
        <w:autoSpaceDN/>
        <w:adjustRightInd/>
        <w:jc w:val="both"/>
        <w:textAlignment w:val="auto"/>
        <w:rPr>
          <w:rFonts w:ascii="Verdana" w:hAnsi="Verdana"/>
          <w:b/>
          <w:sz w:val="18"/>
          <w:szCs w:val="18"/>
        </w:rPr>
      </w:pPr>
      <w:r w:rsidRPr="00546921">
        <w:rPr>
          <w:rFonts w:ascii="Verdana" w:hAnsi="Verdana"/>
          <w:b/>
          <w:sz w:val="18"/>
          <w:szCs w:val="18"/>
        </w:rPr>
        <w:t>DRAFT INTEPRETATION NOTE 1 (I</w:t>
      </w:r>
      <w:r w:rsidR="00E47242" w:rsidRPr="00546921">
        <w:rPr>
          <w:rFonts w:ascii="Verdana" w:hAnsi="Verdana"/>
          <w:b/>
          <w:sz w:val="18"/>
          <w:szCs w:val="18"/>
        </w:rPr>
        <w:t>ssue 2)</w:t>
      </w:r>
    </w:p>
    <w:p w:rsidR="00E47242" w:rsidRPr="00546921" w:rsidRDefault="00E47242"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006820BC" w:rsidRPr="00546921">
        <w:rPr>
          <w:rFonts w:ascii="Verdana" w:hAnsi="Verdana"/>
          <w:sz w:val="18"/>
          <w:szCs w:val="18"/>
        </w:rPr>
        <w:t>not stated</w:t>
      </w:r>
    </w:p>
    <w:p w:rsidR="00E83ECB" w:rsidRPr="00546921" w:rsidRDefault="00E47242"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Income Tax Act 58 of 1962</w:t>
      </w:r>
      <w:r w:rsidR="00E83ECB" w:rsidRPr="00546921">
        <w:rPr>
          <w:rFonts w:ascii="Verdana" w:hAnsi="Verdana"/>
          <w:sz w:val="18"/>
          <w:szCs w:val="18"/>
        </w:rPr>
        <w:t xml:space="preserve"> </w:t>
      </w:r>
    </w:p>
    <w:p w:rsidR="00E83ECB" w:rsidRPr="00546921" w:rsidRDefault="00E47242"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6D2F92" w:rsidRPr="00546921">
        <w:rPr>
          <w:rFonts w:ascii="Verdana" w:hAnsi="Verdana"/>
          <w:sz w:val="18"/>
          <w:szCs w:val="18"/>
        </w:rPr>
        <w:t>P</w:t>
      </w:r>
      <w:r w:rsidRPr="00546921">
        <w:rPr>
          <w:rFonts w:ascii="Verdana" w:hAnsi="Verdana"/>
          <w:sz w:val="18"/>
          <w:szCs w:val="18"/>
        </w:rPr>
        <w:t>aragraphs</w:t>
      </w:r>
      <w:r w:rsidR="00E83ECB" w:rsidRPr="00546921">
        <w:rPr>
          <w:rFonts w:ascii="Verdana" w:hAnsi="Verdana"/>
          <w:sz w:val="18"/>
          <w:szCs w:val="18"/>
        </w:rPr>
        <w:t xml:space="preserve"> 17 </w:t>
      </w:r>
      <w:r w:rsidRPr="00546921">
        <w:rPr>
          <w:rFonts w:ascii="Verdana" w:hAnsi="Verdana"/>
          <w:sz w:val="18"/>
          <w:szCs w:val="18"/>
        </w:rPr>
        <w:t xml:space="preserve">to </w:t>
      </w:r>
      <w:r w:rsidR="00E83ECB" w:rsidRPr="00546921">
        <w:rPr>
          <w:rFonts w:ascii="Verdana" w:hAnsi="Verdana"/>
          <w:sz w:val="18"/>
          <w:szCs w:val="18"/>
        </w:rPr>
        <w:t xml:space="preserve">27 </w:t>
      </w:r>
      <w:r w:rsidRPr="00546921">
        <w:rPr>
          <w:rFonts w:ascii="Verdana" w:hAnsi="Verdana"/>
          <w:sz w:val="18"/>
          <w:szCs w:val="18"/>
        </w:rPr>
        <w:t>of the Fourth Schedule</w:t>
      </w:r>
      <w:r w:rsidR="00E83ECB" w:rsidRPr="00546921">
        <w:rPr>
          <w:rFonts w:ascii="Verdana" w:hAnsi="Verdana"/>
          <w:sz w:val="18"/>
          <w:szCs w:val="18"/>
        </w:rPr>
        <w:t xml:space="preserve"> </w:t>
      </w:r>
    </w:p>
    <w:p w:rsidR="006D2F92" w:rsidRPr="00546921" w:rsidRDefault="006D2F92" w:rsidP="006D2F92">
      <w:pPr>
        <w:overflowPunct/>
        <w:autoSpaceDE/>
        <w:autoSpaceDN/>
        <w:adjustRightInd/>
        <w:jc w:val="both"/>
        <w:textAlignment w:val="auto"/>
        <w:rPr>
          <w:rFonts w:ascii="Verdana" w:hAnsi="Verdana"/>
          <w:b/>
          <w:sz w:val="18"/>
          <w:szCs w:val="18"/>
        </w:rPr>
      </w:pPr>
    </w:p>
    <w:p w:rsidR="00E87ED7" w:rsidRPr="00546921" w:rsidRDefault="00E47242" w:rsidP="006D2F92">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Executive summary: </w:t>
      </w:r>
      <w:r w:rsidR="00FD67F4" w:rsidRPr="00546921">
        <w:rPr>
          <w:rFonts w:ascii="Verdana" w:hAnsi="Verdana"/>
          <w:sz w:val="18"/>
          <w:szCs w:val="18"/>
        </w:rPr>
        <w:t>This n</w:t>
      </w:r>
      <w:r w:rsidR="00E83ECB" w:rsidRPr="00546921">
        <w:rPr>
          <w:rFonts w:ascii="Verdana" w:hAnsi="Verdana"/>
          <w:sz w:val="18"/>
          <w:szCs w:val="18"/>
        </w:rPr>
        <w:t>ote</w:t>
      </w:r>
      <w:r w:rsidR="003529F2" w:rsidRPr="00546921">
        <w:rPr>
          <w:rFonts w:ascii="Verdana" w:hAnsi="Verdana"/>
          <w:sz w:val="18"/>
          <w:szCs w:val="18"/>
        </w:rPr>
        <w:t>, which deals with provisional tax estimates,</w:t>
      </w:r>
      <w:r w:rsidR="00E83ECB" w:rsidRPr="00546921">
        <w:rPr>
          <w:rFonts w:ascii="Verdana" w:hAnsi="Verdana"/>
          <w:sz w:val="18"/>
          <w:szCs w:val="18"/>
        </w:rPr>
        <w:t xml:space="preserve"> was released as a draft in 2014. </w:t>
      </w:r>
      <w:r w:rsidRPr="00546921">
        <w:rPr>
          <w:rFonts w:ascii="Verdana" w:hAnsi="Verdana"/>
          <w:sz w:val="18"/>
          <w:szCs w:val="18"/>
        </w:rPr>
        <w:t>Owing</w:t>
      </w:r>
      <w:r w:rsidR="00E83ECB" w:rsidRPr="00546921">
        <w:rPr>
          <w:rFonts w:ascii="Verdana" w:hAnsi="Verdana"/>
          <w:sz w:val="18"/>
          <w:szCs w:val="18"/>
        </w:rPr>
        <w:t xml:space="preserve"> to amendments promulgated in January 2015 which substantially changed the penalty provisions, SARS has issued this updated draft for a second round of comments. </w:t>
      </w:r>
    </w:p>
    <w:p w:rsidR="00E47242" w:rsidRPr="00546921" w:rsidRDefault="00E47242" w:rsidP="004D10D6">
      <w:pPr>
        <w:overflowPunct/>
        <w:autoSpaceDE/>
        <w:autoSpaceDN/>
        <w:adjustRightInd/>
        <w:jc w:val="both"/>
        <w:textAlignment w:val="auto"/>
        <w:rPr>
          <w:rFonts w:ascii="Verdana" w:hAnsi="Verdana"/>
          <w:sz w:val="18"/>
          <w:szCs w:val="18"/>
          <w:lang w:val="en-ZA" w:eastAsia="en-ZA"/>
        </w:rPr>
      </w:pPr>
    </w:p>
    <w:p w:rsidR="006C54A8" w:rsidRPr="00546921" w:rsidRDefault="006C54A8" w:rsidP="004D10D6">
      <w:pPr>
        <w:overflowPunct/>
        <w:autoSpaceDE/>
        <w:autoSpaceDN/>
        <w:adjustRightInd/>
        <w:jc w:val="both"/>
        <w:textAlignment w:val="auto"/>
        <w:rPr>
          <w:rFonts w:ascii="Verdana" w:hAnsi="Verdana"/>
          <w:sz w:val="18"/>
          <w:szCs w:val="18"/>
          <w:lang w:val="en-ZA" w:eastAsia="en-ZA"/>
        </w:rPr>
      </w:pPr>
    </w:p>
    <w:p w:rsidR="00E47242" w:rsidRPr="00546921" w:rsidRDefault="006C54A8" w:rsidP="004D10D6">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DRAFT INTERPRETATION NOTE </w:t>
      </w:r>
      <w:r w:rsidR="00994E46" w:rsidRPr="00546921">
        <w:rPr>
          <w:rFonts w:ascii="Verdana" w:hAnsi="Verdana"/>
          <w:b/>
          <w:sz w:val="18"/>
          <w:szCs w:val="18"/>
        </w:rPr>
        <w:t>(</w:t>
      </w:r>
      <w:r w:rsidR="00994E46" w:rsidRPr="00546921">
        <w:rPr>
          <w:rFonts w:ascii="Verdana" w:hAnsi="Verdana"/>
          <w:sz w:val="18"/>
          <w:szCs w:val="18"/>
        </w:rPr>
        <w:t>no number stated)</w:t>
      </w:r>
      <w:r w:rsidR="00DC7DDA">
        <w:rPr>
          <w:rFonts w:ascii="Verdana" w:hAnsi="Verdana"/>
          <w:sz w:val="18"/>
          <w:szCs w:val="18"/>
        </w:rPr>
        <w:t xml:space="preserve"> </w:t>
      </w:r>
    </w:p>
    <w:p w:rsidR="00E47242" w:rsidRPr="004D10D6" w:rsidRDefault="00E47242" w:rsidP="004D10D6">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Effective </w:t>
      </w:r>
      <w:r w:rsidRPr="00546921">
        <w:rPr>
          <w:rFonts w:ascii="Verdana" w:hAnsi="Verdana"/>
          <w:sz w:val="18"/>
          <w:szCs w:val="18"/>
        </w:rPr>
        <w:t>date: not stated</w:t>
      </w:r>
    </w:p>
    <w:p w:rsidR="00E47242" w:rsidRPr="004D10D6" w:rsidRDefault="00E47242" w:rsidP="004D10D6">
      <w:pPr>
        <w:overflowPunct/>
        <w:autoSpaceDE/>
        <w:autoSpaceDN/>
        <w:adjustRightInd/>
        <w:jc w:val="both"/>
        <w:textAlignment w:val="auto"/>
        <w:rPr>
          <w:rFonts w:ascii="Verdana" w:hAnsi="Verdana"/>
          <w:sz w:val="18"/>
          <w:szCs w:val="18"/>
        </w:rPr>
      </w:pPr>
      <w:r w:rsidRPr="004D10D6">
        <w:rPr>
          <w:rFonts w:ascii="Verdana" w:hAnsi="Verdana"/>
          <w:b/>
          <w:sz w:val="18"/>
          <w:szCs w:val="18"/>
        </w:rPr>
        <w:t>Affected legislation:</w:t>
      </w:r>
      <w:r w:rsidR="006820BC">
        <w:rPr>
          <w:rFonts w:ascii="Verdana" w:hAnsi="Verdana"/>
          <w:sz w:val="18"/>
          <w:szCs w:val="18"/>
        </w:rPr>
        <w:t xml:space="preserve"> Income Tax Act 58 of 1962</w:t>
      </w:r>
    </w:p>
    <w:p w:rsidR="00E47242" w:rsidRPr="004D10D6" w:rsidRDefault="00E47242" w:rsidP="004D10D6">
      <w:pPr>
        <w:overflowPunct/>
        <w:autoSpaceDE/>
        <w:autoSpaceDN/>
        <w:adjustRightInd/>
        <w:jc w:val="both"/>
        <w:textAlignment w:val="auto"/>
        <w:rPr>
          <w:rFonts w:ascii="Verdana" w:hAnsi="Verdana"/>
          <w:sz w:val="18"/>
          <w:szCs w:val="18"/>
        </w:rPr>
      </w:pPr>
      <w:r w:rsidRPr="004D10D6">
        <w:rPr>
          <w:rFonts w:ascii="Verdana" w:hAnsi="Verdana"/>
          <w:b/>
          <w:sz w:val="18"/>
          <w:szCs w:val="18"/>
        </w:rPr>
        <w:t>Provisions</w:t>
      </w:r>
      <w:r w:rsidR="004D10D6" w:rsidRPr="004D10D6">
        <w:rPr>
          <w:rFonts w:ascii="Verdana" w:hAnsi="Verdana"/>
          <w:sz w:val="18"/>
          <w:szCs w:val="18"/>
        </w:rPr>
        <w:t>: S</w:t>
      </w:r>
      <w:r w:rsidRPr="004D10D6">
        <w:rPr>
          <w:rFonts w:ascii="Verdana" w:hAnsi="Verdana"/>
          <w:sz w:val="18"/>
          <w:szCs w:val="18"/>
        </w:rPr>
        <w:t>ection 1(1)</w:t>
      </w:r>
      <w:r w:rsidR="004D10D6" w:rsidRPr="004D10D6">
        <w:rPr>
          <w:rFonts w:ascii="Verdana" w:hAnsi="Verdana"/>
          <w:sz w:val="18"/>
          <w:szCs w:val="18"/>
        </w:rPr>
        <w:t xml:space="preserve">, </w:t>
      </w:r>
      <w:r w:rsidRPr="004D10D6">
        <w:rPr>
          <w:rFonts w:ascii="Verdana" w:hAnsi="Verdana"/>
          <w:sz w:val="18"/>
          <w:szCs w:val="18"/>
        </w:rPr>
        <w:t xml:space="preserve">definitions of </w:t>
      </w:r>
      <w:r w:rsidR="004D10D6" w:rsidRPr="004D10D6">
        <w:rPr>
          <w:rFonts w:ascii="Verdana" w:hAnsi="Verdana"/>
          <w:sz w:val="18"/>
          <w:szCs w:val="18"/>
        </w:rPr>
        <w:t>‘</w:t>
      </w:r>
      <w:r w:rsidRPr="004D10D6">
        <w:rPr>
          <w:rFonts w:ascii="Verdana" w:hAnsi="Verdana"/>
          <w:sz w:val="18"/>
          <w:szCs w:val="18"/>
        </w:rPr>
        <w:t>mining operations</w:t>
      </w:r>
      <w:r w:rsidR="004D10D6" w:rsidRPr="004D10D6">
        <w:rPr>
          <w:rFonts w:ascii="Verdana" w:hAnsi="Verdana"/>
          <w:sz w:val="18"/>
          <w:szCs w:val="18"/>
        </w:rPr>
        <w:t>’</w:t>
      </w:r>
      <w:r w:rsidRPr="004D10D6">
        <w:rPr>
          <w:rFonts w:ascii="Verdana" w:hAnsi="Verdana"/>
          <w:sz w:val="18"/>
          <w:szCs w:val="18"/>
        </w:rPr>
        <w:t xml:space="preserve"> and </w:t>
      </w:r>
      <w:r w:rsidR="004D10D6" w:rsidRPr="004D10D6">
        <w:rPr>
          <w:rFonts w:ascii="Verdana" w:hAnsi="Verdana"/>
          <w:sz w:val="18"/>
          <w:szCs w:val="18"/>
        </w:rPr>
        <w:t>‘</w:t>
      </w:r>
      <w:r w:rsidRPr="004D10D6">
        <w:rPr>
          <w:rFonts w:ascii="Verdana" w:hAnsi="Verdana"/>
          <w:sz w:val="18"/>
          <w:szCs w:val="18"/>
        </w:rPr>
        <w:t>mining</w:t>
      </w:r>
      <w:r w:rsidR="004D10D6" w:rsidRPr="004D10D6">
        <w:rPr>
          <w:rFonts w:ascii="Verdana" w:hAnsi="Verdana"/>
          <w:sz w:val="18"/>
          <w:szCs w:val="18"/>
        </w:rPr>
        <w:t>’</w:t>
      </w:r>
    </w:p>
    <w:p w:rsidR="004D10D6" w:rsidRPr="004D10D6" w:rsidRDefault="004D10D6" w:rsidP="004D10D6">
      <w:pPr>
        <w:overflowPunct/>
        <w:autoSpaceDE/>
        <w:autoSpaceDN/>
        <w:adjustRightInd/>
        <w:jc w:val="both"/>
        <w:textAlignment w:val="auto"/>
        <w:rPr>
          <w:rFonts w:ascii="Verdana" w:hAnsi="Verdana"/>
          <w:b/>
          <w:sz w:val="18"/>
          <w:szCs w:val="18"/>
        </w:rPr>
      </w:pPr>
    </w:p>
    <w:p w:rsidR="006C54A8" w:rsidRPr="004D10D6" w:rsidRDefault="00E47242" w:rsidP="004D10D6">
      <w:pPr>
        <w:overflowPunct/>
        <w:autoSpaceDE/>
        <w:autoSpaceDN/>
        <w:adjustRightInd/>
        <w:jc w:val="both"/>
        <w:textAlignment w:val="auto"/>
        <w:rPr>
          <w:rFonts w:ascii="Verdana" w:hAnsi="Verdana"/>
          <w:sz w:val="18"/>
          <w:szCs w:val="18"/>
        </w:rPr>
      </w:pPr>
      <w:r w:rsidRPr="004D10D6">
        <w:rPr>
          <w:rFonts w:ascii="Verdana" w:hAnsi="Verdana"/>
          <w:b/>
          <w:sz w:val="18"/>
          <w:szCs w:val="18"/>
        </w:rPr>
        <w:t xml:space="preserve">Executive summary: </w:t>
      </w:r>
      <w:r w:rsidR="004D10D6" w:rsidRPr="004D10D6">
        <w:rPr>
          <w:rFonts w:ascii="Verdana" w:hAnsi="Verdana"/>
          <w:sz w:val="18"/>
          <w:szCs w:val="18"/>
        </w:rPr>
        <w:t>T</w:t>
      </w:r>
      <w:r w:rsidRPr="004D10D6">
        <w:rPr>
          <w:rFonts w:ascii="Verdana" w:hAnsi="Verdana"/>
          <w:sz w:val="18"/>
          <w:szCs w:val="18"/>
        </w:rPr>
        <w:t>his note deals with the question of whether certain quarrying operations constitute mining operations.</w:t>
      </w:r>
    </w:p>
    <w:p w:rsidR="006C54A8" w:rsidRPr="004D10D6" w:rsidRDefault="006C54A8" w:rsidP="004D10D6">
      <w:pPr>
        <w:overflowPunct/>
        <w:autoSpaceDE/>
        <w:autoSpaceDN/>
        <w:adjustRightInd/>
        <w:jc w:val="both"/>
        <w:textAlignment w:val="auto"/>
        <w:rPr>
          <w:rFonts w:ascii="Verdana" w:hAnsi="Verdana"/>
          <w:sz w:val="18"/>
          <w:szCs w:val="18"/>
        </w:rPr>
      </w:pPr>
    </w:p>
    <w:p w:rsidR="00994E46" w:rsidRPr="004D10D6" w:rsidRDefault="00994E46" w:rsidP="000709F1">
      <w:pPr>
        <w:overflowPunct/>
        <w:autoSpaceDE/>
        <w:autoSpaceDN/>
        <w:adjustRightInd/>
        <w:textAlignment w:val="auto"/>
        <w:rPr>
          <w:rFonts w:ascii="Verdana" w:hAnsi="Verdana" w:cs="Arial"/>
          <w:sz w:val="18"/>
          <w:szCs w:val="18"/>
        </w:rPr>
      </w:pPr>
    </w:p>
    <w:p w:rsidR="00994E46" w:rsidRPr="00546921" w:rsidRDefault="00994E46" w:rsidP="00994E46">
      <w:pPr>
        <w:overflowPunct/>
        <w:autoSpaceDE/>
        <w:autoSpaceDN/>
        <w:adjustRightInd/>
        <w:textAlignment w:val="auto"/>
        <w:rPr>
          <w:rFonts w:ascii="Verdana" w:hAnsi="Verdana" w:cs="Arial"/>
          <w:sz w:val="18"/>
          <w:szCs w:val="18"/>
        </w:rPr>
      </w:pPr>
      <w:r w:rsidRPr="00546921">
        <w:rPr>
          <w:rFonts w:ascii="Verdana" w:hAnsi="Verdana" w:cs="Arial"/>
          <w:b/>
          <w:sz w:val="18"/>
          <w:szCs w:val="18"/>
        </w:rPr>
        <w:t>DRAFT INTERPRETATION NOTE 6 (Issue 2)</w:t>
      </w:r>
    </w:p>
    <w:p w:rsidR="00994E46" w:rsidRPr="00546921" w:rsidRDefault="00994E46" w:rsidP="00994E46">
      <w:pPr>
        <w:overflowPunct/>
        <w:autoSpaceDE/>
        <w:autoSpaceDN/>
        <w:adjustRightInd/>
        <w:textAlignment w:val="auto"/>
        <w:rPr>
          <w:rFonts w:ascii="Verdana" w:hAnsi="Verdana" w:cs="Arial"/>
          <w:sz w:val="18"/>
          <w:szCs w:val="18"/>
        </w:rPr>
      </w:pPr>
      <w:r w:rsidRPr="00546921">
        <w:rPr>
          <w:rFonts w:ascii="Verdana" w:hAnsi="Verdana" w:cs="Arial"/>
          <w:b/>
          <w:sz w:val="18"/>
          <w:szCs w:val="18"/>
        </w:rPr>
        <w:t xml:space="preserve">Effective date: </w:t>
      </w:r>
      <w:r w:rsidR="006820BC" w:rsidRPr="00546921">
        <w:rPr>
          <w:rFonts w:ascii="Verdana" w:hAnsi="Verdana" w:cs="Arial"/>
          <w:sz w:val="18"/>
          <w:szCs w:val="18"/>
        </w:rPr>
        <w:t>not stated</w:t>
      </w:r>
    </w:p>
    <w:p w:rsidR="00994E46" w:rsidRPr="00546921" w:rsidRDefault="00994E46" w:rsidP="00994E46">
      <w:pPr>
        <w:overflowPunct/>
        <w:autoSpaceDE/>
        <w:autoSpaceDN/>
        <w:adjustRightInd/>
        <w:textAlignment w:val="auto"/>
        <w:rPr>
          <w:rFonts w:ascii="Verdana" w:hAnsi="Verdana" w:cs="Arial"/>
          <w:sz w:val="18"/>
          <w:szCs w:val="18"/>
        </w:rPr>
      </w:pPr>
      <w:r w:rsidRPr="00546921">
        <w:rPr>
          <w:rFonts w:ascii="Verdana" w:hAnsi="Verdana" w:cs="Arial"/>
          <w:b/>
          <w:sz w:val="18"/>
          <w:szCs w:val="18"/>
        </w:rPr>
        <w:t xml:space="preserve">Affected legislation: </w:t>
      </w:r>
      <w:r w:rsidRPr="00546921">
        <w:rPr>
          <w:rFonts w:ascii="Verdana" w:hAnsi="Verdana" w:cs="Arial"/>
          <w:sz w:val="18"/>
          <w:szCs w:val="18"/>
        </w:rPr>
        <w:t>Income Tax Act 58 of 1962</w:t>
      </w:r>
    </w:p>
    <w:p w:rsidR="00994E46" w:rsidRPr="00546921" w:rsidRDefault="00994E46" w:rsidP="00994E46">
      <w:pPr>
        <w:overflowPunct/>
        <w:autoSpaceDE/>
        <w:autoSpaceDN/>
        <w:adjustRightInd/>
        <w:textAlignment w:val="auto"/>
        <w:rPr>
          <w:rFonts w:ascii="Verdana" w:hAnsi="Verdana" w:cs="Arial"/>
          <w:sz w:val="18"/>
          <w:szCs w:val="18"/>
        </w:rPr>
      </w:pPr>
      <w:r w:rsidRPr="00546921">
        <w:rPr>
          <w:rFonts w:ascii="Verdana" w:hAnsi="Verdana" w:cs="Arial"/>
          <w:b/>
          <w:sz w:val="18"/>
          <w:szCs w:val="18"/>
        </w:rPr>
        <w:t xml:space="preserve">Provisions: </w:t>
      </w:r>
      <w:r w:rsidR="004D10D6" w:rsidRPr="00546921">
        <w:rPr>
          <w:rFonts w:ascii="Verdana" w:hAnsi="Verdana" w:cs="Arial"/>
          <w:sz w:val="18"/>
          <w:szCs w:val="18"/>
        </w:rPr>
        <w:t>S</w:t>
      </w:r>
      <w:r w:rsidRPr="00546921">
        <w:rPr>
          <w:rFonts w:ascii="Verdana" w:hAnsi="Verdana" w:cs="Arial"/>
          <w:sz w:val="18"/>
          <w:szCs w:val="18"/>
        </w:rPr>
        <w:t>ection 1</w:t>
      </w:r>
    </w:p>
    <w:p w:rsidR="004D10D6" w:rsidRPr="00546921" w:rsidRDefault="004D10D6" w:rsidP="00994E46">
      <w:pPr>
        <w:overflowPunct/>
        <w:autoSpaceDE/>
        <w:autoSpaceDN/>
        <w:adjustRightInd/>
        <w:textAlignment w:val="auto"/>
        <w:rPr>
          <w:rFonts w:ascii="Verdana" w:hAnsi="Verdana" w:cs="Arial"/>
          <w:b/>
          <w:sz w:val="18"/>
          <w:szCs w:val="18"/>
        </w:rPr>
      </w:pPr>
    </w:p>
    <w:p w:rsidR="006C54A8" w:rsidRPr="00546921" w:rsidRDefault="00994E46" w:rsidP="00994E46">
      <w:pPr>
        <w:overflowPunct/>
        <w:autoSpaceDE/>
        <w:autoSpaceDN/>
        <w:adjustRightInd/>
        <w:textAlignment w:val="auto"/>
        <w:rPr>
          <w:rFonts w:ascii="Verdana" w:hAnsi="Verdana" w:cs="Arial"/>
          <w:sz w:val="18"/>
          <w:szCs w:val="18"/>
          <w:lang w:val="en-ZA" w:eastAsia="en-ZA"/>
        </w:rPr>
      </w:pPr>
      <w:r w:rsidRPr="00546921">
        <w:rPr>
          <w:rFonts w:ascii="Verdana" w:hAnsi="Verdana" w:cs="Arial"/>
          <w:b/>
          <w:sz w:val="18"/>
          <w:szCs w:val="18"/>
        </w:rPr>
        <w:t xml:space="preserve">Executive summary: </w:t>
      </w:r>
      <w:r w:rsidRPr="00546921">
        <w:rPr>
          <w:rFonts w:ascii="Verdana" w:hAnsi="Verdana" w:cs="Arial"/>
          <w:sz w:val="18"/>
          <w:szCs w:val="18"/>
        </w:rPr>
        <w:t xml:space="preserve">This note provides guidance on the interpretation and application of the term </w:t>
      </w:r>
      <w:r w:rsidR="004D10D6" w:rsidRPr="00546921">
        <w:rPr>
          <w:rFonts w:ascii="Verdana" w:hAnsi="Verdana" w:cs="Arial"/>
          <w:sz w:val="18"/>
          <w:szCs w:val="18"/>
        </w:rPr>
        <w:t>‘</w:t>
      </w:r>
      <w:r w:rsidRPr="00546921">
        <w:rPr>
          <w:rFonts w:ascii="Verdana" w:hAnsi="Verdana" w:cs="Arial"/>
          <w:sz w:val="18"/>
          <w:szCs w:val="18"/>
        </w:rPr>
        <w:t>place of effective management</w:t>
      </w:r>
      <w:r w:rsidR="004D10D6" w:rsidRPr="00546921">
        <w:rPr>
          <w:rFonts w:ascii="Verdana" w:hAnsi="Verdana" w:cs="Arial"/>
          <w:sz w:val="18"/>
          <w:szCs w:val="18"/>
        </w:rPr>
        <w:t>’</w:t>
      </w:r>
      <w:r w:rsidRPr="00546921">
        <w:rPr>
          <w:rFonts w:ascii="Verdana" w:hAnsi="Verdana" w:cs="Arial"/>
          <w:sz w:val="18"/>
          <w:szCs w:val="18"/>
        </w:rPr>
        <w:t xml:space="preserve"> in determining the tax residence of a company</w:t>
      </w:r>
      <w:r w:rsidR="006820BC" w:rsidRPr="00546921">
        <w:rPr>
          <w:rFonts w:ascii="Verdana" w:hAnsi="Verdana" w:cs="Arial"/>
          <w:sz w:val="18"/>
          <w:szCs w:val="18"/>
        </w:rPr>
        <w:t>.</w:t>
      </w:r>
    </w:p>
    <w:p w:rsidR="00E83ECB" w:rsidRPr="00546921" w:rsidRDefault="00E83ECB" w:rsidP="000709F1">
      <w:pPr>
        <w:overflowPunct/>
        <w:autoSpaceDE/>
        <w:autoSpaceDN/>
        <w:adjustRightInd/>
        <w:textAlignment w:val="auto"/>
        <w:rPr>
          <w:rFonts w:ascii="Verdana" w:hAnsi="Verdana" w:cs="Arial"/>
          <w:sz w:val="18"/>
          <w:szCs w:val="18"/>
          <w:lang w:val="en-ZA" w:eastAsia="en-ZA"/>
        </w:rPr>
      </w:pPr>
    </w:p>
    <w:p w:rsidR="00994E46" w:rsidRPr="00546921" w:rsidRDefault="00994E46" w:rsidP="000709F1">
      <w:pPr>
        <w:overflowPunct/>
        <w:autoSpaceDE/>
        <w:autoSpaceDN/>
        <w:adjustRightInd/>
        <w:textAlignment w:val="auto"/>
        <w:rPr>
          <w:rFonts w:ascii="Verdana" w:hAnsi="Verdana"/>
          <w:sz w:val="18"/>
          <w:szCs w:val="18"/>
          <w:lang w:val="en-ZA" w:eastAsia="en-ZA"/>
        </w:rPr>
      </w:pPr>
    </w:p>
    <w:p w:rsidR="00E87ED7" w:rsidRPr="00546921" w:rsidRDefault="00964FD0" w:rsidP="00655261">
      <w:pPr>
        <w:overflowPunct/>
        <w:autoSpaceDE/>
        <w:autoSpaceDN/>
        <w:adjustRightInd/>
        <w:jc w:val="center"/>
        <w:textAlignment w:val="auto"/>
        <w:rPr>
          <w:rFonts w:ascii="Verdana" w:hAnsi="Verdana"/>
          <w:b/>
          <w:i/>
          <w:color w:val="008080"/>
          <w:sz w:val="24"/>
          <w:szCs w:val="24"/>
        </w:rPr>
      </w:pPr>
      <w:r w:rsidRPr="00546921">
        <w:rPr>
          <w:rFonts w:ascii="Verdana" w:hAnsi="Verdana"/>
          <w:b/>
          <w:i/>
          <w:color w:val="008080"/>
          <w:sz w:val="24"/>
          <w:szCs w:val="24"/>
        </w:rPr>
        <w:t>NEW AND RE-ISSUED INTERPRETATION NOTES</w:t>
      </w:r>
    </w:p>
    <w:p w:rsidR="00EC105E" w:rsidRPr="00546921" w:rsidRDefault="00EC105E" w:rsidP="00852C3B">
      <w:pPr>
        <w:overflowPunct/>
        <w:autoSpaceDE/>
        <w:autoSpaceDN/>
        <w:adjustRightInd/>
        <w:jc w:val="both"/>
        <w:textAlignment w:val="auto"/>
        <w:rPr>
          <w:rFonts w:ascii="Verdana" w:hAnsi="Verdana"/>
          <w:sz w:val="18"/>
          <w:szCs w:val="18"/>
          <w:lang w:val="en-ZA" w:eastAsia="en-ZA"/>
        </w:rPr>
      </w:pPr>
    </w:p>
    <w:p w:rsidR="00CB7289" w:rsidRPr="00546921" w:rsidRDefault="00CB7289" w:rsidP="00852C3B">
      <w:pPr>
        <w:overflowPunct/>
        <w:autoSpaceDE/>
        <w:autoSpaceDN/>
        <w:adjustRightInd/>
        <w:jc w:val="both"/>
        <w:textAlignment w:val="auto"/>
        <w:rPr>
          <w:rFonts w:ascii="Verdana" w:hAnsi="Verdana"/>
          <w:b/>
          <w:sz w:val="18"/>
          <w:szCs w:val="18"/>
        </w:rPr>
      </w:pPr>
      <w:r w:rsidRPr="00546921">
        <w:rPr>
          <w:rFonts w:ascii="Verdana" w:hAnsi="Verdana"/>
          <w:b/>
          <w:sz w:val="18"/>
          <w:szCs w:val="18"/>
        </w:rPr>
        <w:t>I</w:t>
      </w:r>
      <w:r w:rsidR="00DC7DDA">
        <w:rPr>
          <w:rFonts w:ascii="Verdana" w:hAnsi="Verdana"/>
          <w:b/>
          <w:sz w:val="18"/>
          <w:szCs w:val="18"/>
        </w:rPr>
        <w:t>NTERPRETATION NOTE 18 (Issue 3)</w:t>
      </w:r>
    </w:p>
    <w:p w:rsidR="00CB7289" w:rsidRPr="00546921" w:rsidRDefault="00CB7289" w:rsidP="00852C3B">
      <w:pPr>
        <w:overflowPunct/>
        <w:autoSpaceDE/>
        <w:autoSpaceDN/>
        <w:adjustRightInd/>
        <w:jc w:val="both"/>
        <w:textAlignment w:val="auto"/>
        <w:rPr>
          <w:rFonts w:ascii="Verdana" w:hAnsi="Verdana"/>
          <w:sz w:val="18"/>
          <w:szCs w:val="18"/>
        </w:rPr>
      </w:pPr>
      <w:r w:rsidRPr="00546921">
        <w:rPr>
          <w:rFonts w:ascii="Verdana" w:hAnsi="Verdana"/>
          <w:b/>
          <w:sz w:val="18"/>
          <w:szCs w:val="18"/>
        </w:rPr>
        <w:t>Date:</w:t>
      </w:r>
      <w:r w:rsidRPr="00546921">
        <w:rPr>
          <w:rFonts w:ascii="Verdana" w:hAnsi="Verdana"/>
          <w:sz w:val="18"/>
          <w:szCs w:val="18"/>
        </w:rPr>
        <w:t xml:space="preserve"> 26 June 2015 </w:t>
      </w:r>
    </w:p>
    <w:p w:rsidR="00CB7289" w:rsidRPr="00546921" w:rsidRDefault="00CB7289" w:rsidP="00852C3B">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Income Tax Act 58 of 1962</w:t>
      </w:r>
    </w:p>
    <w:p w:rsidR="00CB7289" w:rsidRPr="00546921" w:rsidRDefault="00CB7289" w:rsidP="00852C3B">
      <w:pPr>
        <w:overflowPunct/>
        <w:autoSpaceDE/>
        <w:autoSpaceDN/>
        <w:adjustRightInd/>
        <w:jc w:val="both"/>
        <w:textAlignment w:val="auto"/>
        <w:rPr>
          <w:rFonts w:ascii="Verdana" w:hAnsi="Verdana"/>
          <w:sz w:val="18"/>
          <w:szCs w:val="18"/>
          <w:lang w:val="fr-FR"/>
        </w:rPr>
      </w:pPr>
      <w:r w:rsidRPr="00546921">
        <w:rPr>
          <w:rFonts w:ascii="Verdana" w:hAnsi="Verdana"/>
          <w:b/>
          <w:sz w:val="18"/>
          <w:szCs w:val="18"/>
          <w:lang w:val="fr-FR"/>
        </w:rPr>
        <w:t xml:space="preserve">Provisions: </w:t>
      </w:r>
      <w:r w:rsidR="00852C3B" w:rsidRPr="00546921">
        <w:rPr>
          <w:rFonts w:ascii="Verdana" w:hAnsi="Verdana"/>
          <w:sz w:val="18"/>
          <w:szCs w:val="18"/>
          <w:lang w:val="fr-FR"/>
        </w:rPr>
        <w:t>S</w:t>
      </w:r>
      <w:r w:rsidRPr="00546921">
        <w:rPr>
          <w:rFonts w:ascii="Verdana" w:hAnsi="Verdana"/>
          <w:sz w:val="18"/>
          <w:szCs w:val="18"/>
          <w:lang w:val="fr-FR"/>
        </w:rPr>
        <w:t>ections 6</w:t>
      </w:r>
      <w:r w:rsidRPr="00546921">
        <w:rPr>
          <w:rFonts w:ascii="Verdana" w:hAnsi="Verdana"/>
          <w:i/>
          <w:sz w:val="18"/>
          <w:szCs w:val="18"/>
          <w:lang w:val="fr-FR"/>
        </w:rPr>
        <w:t>quat</w:t>
      </w:r>
      <w:r w:rsidRPr="00546921">
        <w:rPr>
          <w:rFonts w:ascii="Verdana" w:hAnsi="Verdana"/>
          <w:sz w:val="18"/>
          <w:szCs w:val="18"/>
          <w:lang w:val="fr-FR"/>
        </w:rPr>
        <w:t>, 6</w:t>
      </w:r>
      <w:r w:rsidRPr="00546921">
        <w:rPr>
          <w:rFonts w:ascii="Verdana" w:hAnsi="Verdana"/>
          <w:i/>
          <w:sz w:val="18"/>
          <w:szCs w:val="18"/>
          <w:lang w:val="fr-FR"/>
        </w:rPr>
        <w:t>quin</w:t>
      </w:r>
      <w:r w:rsidRPr="00546921">
        <w:rPr>
          <w:rFonts w:ascii="Verdana" w:hAnsi="Verdana"/>
          <w:sz w:val="18"/>
          <w:szCs w:val="18"/>
          <w:lang w:val="fr-FR"/>
        </w:rPr>
        <w:t xml:space="preserve"> and 64N </w:t>
      </w:r>
    </w:p>
    <w:p w:rsidR="00852C3B" w:rsidRPr="00546921" w:rsidRDefault="00852C3B" w:rsidP="00852C3B">
      <w:pPr>
        <w:overflowPunct/>
        <w:autoSpaceDE/>
        <w:autoSpaceDN/>
        <w:adjustRightInd/>
        <w:jc w:val="both"/>
        <w:textAlignment w:val="auto"/>
        <w:rPr>
          <w:rFonts w:ascii="Verdana" w:hAnsi="Verdana"/>
          <w:b/>
          <w:sz w:val="18"/>
          <w:szCs w:val="18"/>
          <w:lang w:val="en-ZA"/>
        </w:rPr>
      </w:pPr>
    </w:p>
    <w:p w:rsidR="00CB7289" w:rsidRPr="00546921" w:rsidRDefault="00CB7289" w:rsidP="00852C3B">
      <w:pPr>
        <w:overflowPunct/>
        <w:autoSpaceDE/>
        <w:autoSpaceDN/>
        <w:adjustRightInd/>
        <w:jc w:val="both"/>
        <w:textAlignment w:val="auto"/>
        <w:rPr>
          <w:rFonts w:ascii="Verdana" w:hAnsi="Verdana"/>
          <w:sz w:val="18"/>
          <w:szCs w:val="18"/>
          <w:lang w:val="en-ZA" w:eastAsia="en-ZA"/>
        </w:rPr>
      </w:pPr>
      <w:r w:rsidRPr="00546921">
        <w:rPr>
          <w:rFonts w:ascii="Verdana" w:hAnsi="Verdana"/>
          <w:b/>
          <w:sz w:val="18"/>
          <w:szCs w:val="18"/>
          <w:lang w:val="en-ZA"/>
        </w:rPr>
        <w:t xml:space="preserve">Executive summary: </w:t>
      </w:r>
      <w:r w:rsidRPr="00546921">
        <w:rPr>
          <w:rFonts w:ascii="Verdana" w:hAnsi="Verdana"/>
          <w:sz w:val="18"/>
          <w:szCs w:val="18"/>
          <w:lang w:val="en-ZA"/>
        </w:rPr>
        <w:t>This note provides for rebate</w:t>
      </w:r>
      <w:r w:rsidR="00FD67F4" w:rsidRPr="00546921">
        <w:rPr>
          <w:rFonts w:ascii="Verdana" w:hAnsi="Verdana"/>
          <w:sz w:val="18"/>
          <w:szCs w:val="18"/>
          <w:lang w:val="en-ZA"/>
        </w:rPr>
        <w:t>s</w:t>
      </w:r>
      <w:r w:rsidRPr="00546921">
        <w:rPr>
          <w:rFonts w:ascii="Verdana" w:hAnsi="Verdana"/>
          <w:sz w:val="18"/>
          <w:szCs w:val="18"/>
          <w:lang w:val="en-ZA"/>
        </w:rPr>
        <w:t xml:space="preserve"> and deductions for foreign taxes on income. Issue 2 of this note has been archived as from 26 June 2015.</w:t>
      </w:r>
    </w:p>
    <w:p w:rsidR="00CB7289" w:rsidRPr="00546921" w:rsidRDefault="00CB7289" w:rsidP="00852C3B">
      <w:pPr>
        <w:overflowPunct/>
        <w:autoSpaceDE/>
        <w:autoSpaceDN/>
        <w:adjustRightInd/>
        <w:jc w:val="both"/>
        <w:textAlignment w:val="auto"/>
        <w:rPr>
          <w:rFonts w:ascii="Verdana" w:hAnsi="Verdana"/>
          <w:sz w:val="18"/>
          <w:szCs w:val="18"/>
          <w:lang w:val="en-ZA" w:eastAsia="en-ZA"/>
        </w:rPr>
      </w:pPr>
    </w:p>
    <w:p w:rsidR="00CB7289" w:rsidRPr="00546921" w:rsidRDefault="00CB7289" w:rsidP="00852C3B">
      <w:pPr>
        <w:overflowPunct/>
        <w:autoSpaceDE/>
        <w:autoSpaceDN/>
        <w:adjustRightInd/>
        <w:jc w:val="both"/>
        <w:textAlignment w:val="auto"/>
        <w:rPr>
          <w:rFonts w:ascii="Verdana" w:hAnsi="Verdana"/>
          <w:sz w:val="18"/>
          <w:szCs w:val="18"/>
          <w:lang w:val="en-ZA" w:eastAsia="en-ZA"/>
        </w:rPr>
      </w:pPr>
    </w:p>
    <w:p w:rsidR="0013501B" w:rsidRPr="00852C3B" w:rsidRDefault="00F239C4" w:rsidP="00852C3B">
      <w:pPr>
        <w:overflowPunct/>
        <w:autoSpaceDE/>
        <w:autoSpaceDN/>
        <w:adjustRightInd/>
        <w:jc w:val="both"/>
        <w:textAlignment w:val="auto"/>
        <w:rPr>
          <w:rFonts w:ascii="Verdana" w:hAnsi="Verdana"/>
          <w:b/>
          <w:sz w:val="18"/>
          <w:szCs w:val="18"/>
        </w:rPr>
      </w:pPr>
      <w:r w:rsidRPr="00546921">
        <w:rPr>
          <w:rFonts w:ascii="Verdana" w:hAnsi="Verdana"/>
          <w:b/>
          <w:sz w:val="18"/>
          <w:szCs w:val="18"/>
        </w:rPr>
        <w:t>I</w:t>
      </w:r>
      <w:r w:rsidR="00DC7DDA">
        <w:rPr>
          <w:rFonts w:ascii="Verdana" w:hAnsi="Verdana"/>
          <w:b/>
          <w:sz w:val="18"/>
          <w:szCs w:val="18"/>
        </w:rPr>
        <w:t>NTERPRETATION NOTE 81 (Issue 2)</w:t>
      </w:r>
    </w:p>
    <w:p w:rsidR="0013501B" w:rsidRPr="00852C3B" w:rsidRDefault="009522FF" w:rsidP="00852C3B">
      <w:pPr>
        <w:overflowPunct/>
        <w:autoSpaceDE/>
        <w:autoSpaceDN/>
        <w:adjustRightInd/>
        <w:jc w:val="both"/>
        <w:textAlignment w:val="auto"/>
        <w:rPr>
          <w:rFonts w:ascii="Verdana" w:hAnsi="Verdana"/>
          <w:sz w:val="18"/>
          <w:szCs w:val="18"/>
        </w:rPr>
      </w:pPr>
      <w:r w:rsidRPr="00852C3B">
        <w:rPr>
          <w:rFonts w:ascii="Verdana" w:hAnsi="Verdana"/>
          <w:b/>
          <w:sz w:val="18"/>
          <w:szCs w:val="18"/>
        </w:rPr>
        <w:t xml:space="preserve">Effective date: </w:t>
      </w:r>
      <w:r w:rsidR="00F239C4" w:rsidRPr="00852C3B">
        <w:rPr>
          <w:rFonts w:ascii="Verdana" w:hAnsi="Verdana"/>
          <w:sz w:val="18"/>
          <w:szCs w:val="18"/>
        </w:rPr>
        <w:t xml:space="preserve">9 April 2015 </w:t>
      </w:r>
    </w:p>
    <w:p w:rsidR="0013501B" w:rsidRPr="00852C3B" w:rsidRDefault="009522FF" w:rsidP="00852C3B">
      <w:pPr>
        <w:overflowPunct/>
        <w:autoSpaceDE/>
        <w:autoSpaceDN/>
        <w:adjustRightInd/>
        <w:jc w:val="both"/>
        <w:textAlignment w:val="auto"/>
        <w:rPr>
          <w:rFonts w:ascii="Verdana" w:hAnsi="Verdana"/>
          <w:sz w:val="18"/>
          <w:szCs w:val="18"/>
        </w:rPr>
      </w:pPr>
      <w:r w:rsidRPr="00852C3B">
        <w:rPr>
          <w:rFonts w:ascii="Verdana" w:hAnsi="Verdana"/>
          <w:b/>
          <w:sz w:val="18"/>
          <w:szCs w:val="18"/>
        </w:rPr>
        <w:t xml:space="preserve">Affected legislation: </w:t>
      </w:r>
      <w:r w:rsidRPr="00852C3B">
        <w:rPr>
          <w:rFonts w:ascii="Verdana" w:hAnsi="Verdana"/>
          <w:sz w:val="18"/>
          <w:szCs w:val="18"/>
        </w:rPr>
        <w:t>Value-Added Tax Act 89 of</w:t>
      </w:r>
      <w:r w:rsidR="00F239C4" w:rsidRPr="00852C3B">
        <w:rPr>
          <w:rFonts w:ascii="Verdana" w:hAnsi="Verdana"/>
          <w:sz w:val="18"/>
          <w:szCs w:val="18"/>
        </w:rPr>
        <w:t xml:space="preserve"> 1991 </w:t>
      </w:r>
    </w:p>
    <w:p w:rsidR="009522FF" w:rsidRPr="00852C3B" w:rsidRDefault="009522FF" w:rsidP="00852C3B">
      <w:pPr>
        <w:overflowPunct/>
        <w:autoSpaceDE/>
        <w:autoSpaceDN/>
        <w:adjustRightInd/>
        <w:jc w:val="both"/>
        <w:textAlignment w:val="auto"/>
        <w:rPr>
          <w:rFonts w:ascii="Verdana" w:hAnsi="Verdana"/>
          <w:sz w:val="18"/>
          <w:szCs w:val="18"/>
        </w:rPr>
      </w:pPr>
      <w:r w:rsidRPr="00852C3B">
        <w:rPr>
          <w:rFonts w:ascii="Verdana" w:hAnsi="Verdana"/>
          <w:b/>
          <w:sz w:val="18"/>
          <w:szCs w:val="18"/>
        </w:rPr>
        <w:t xml:space="preserve">Provisions: </w:t>
      </w:r>
      <w:r w:rsidR="00852C3B" w:rsidRPr="00852C3B">
        <w:rPr>
          <w:rFonts w:ascii="Verdana" w:hAnsi="Verdana"/>
          <w:sz w:val="18"/>
          <w:szCs w:val="18"/>
        </w:rPr>
        <w:t>S</w:t>
      </w:r>
      <w:r w:rsidRPr="00852C3B">
        <w:rPr>
          <w:rFonts w:ascii="Verdana" w:hAnsi="Verdana"/>
          <w:sz w:val="18"/>
          <w:szCs w:val="18"/>
        </w:rPr>
        <w:t>ections 7(1</w:t>
      </w:r>
      <w:proofErr w:type="gramStart"/>
      <w:r w:rsidRPr="00852C3B">
        <w:rPr>
          <w:rFonts w:ascii="Verdana" w:hAnsi="Verdana"/>
          <w:sz w:val="18"/>
          <w:szCs w:val="18"/>
        </w:rPr>
        <w:t>)</w:t>
      </w:r>
      <w:r w:rsidRPr="00852C3B">
        <w:rPr>
          <w:rFonts w:ascii="Verdana" w:hAnsi="Verdana"/>
          <w:i/>
          <w:sz w:val="18"/>
          <w:szCs w:val="18"/>
        </w:rPr>
        <w:t>(</w:t>
      </w:r>
      <w:proofErr w:type="gramEnd"/>
      <w:r w:rsidRPr="00852C3B">
        <w:rPr>
          <w:rFonts w:ascii="Verdana" w:hAnsi="Verdana"/>
          <w:i/>
          <w:sz w:val="18"/>
          <w:szCs w:val="18"/>
        </w:rPr>
        <w:t>a)</w:t>
      </w:r>
      <w:r w:rsidRPr="00852C3B">
        <w:rPr>
          <w:rFonts w:ascii="Verdana" w:hAnsi="Verdana"/>
          <w:sz w:val="18"/>
          <w:szCs w:val="18"/>
        </w:rPr>
        <w:t>, 11(1)</w:t>
      </w:r>
      <w:r w:rsidRPr="00852C3B">
        <w:rPr>
          <w:rFonts w:ascii="Verdana" w:hAnsi="Verdana"/>
          <w:i/>
          <w:sz w:val="18"/>
          <w:szCs w:val="18"/>
        </w:rPr>
        <w:t>(a)</w:t>
      </w:r>
      <w:r w:rsidRPr="00852C3B">
        <w:rPr>
          <w:rFonts w:ascii="Verdana" w:hAnsi="Verdana"/>
          <w:sz w:val="18"/>
          <w:szCs w:val="18"/>
        </w:rPr>
        <w:t xml:space="preserve"> and</w:t>
      </w:r>
      <w:r w:rsidR="00F239C4" w:rsidRPr="00852C3B">
        <w:rPr>
          <w:rFonts w:ascii="Verdana" w:hAnsi="Verdana"/>
          <w:sz w:val="18"/>
          <w:szCs w:val="18"/>
        </w:rPr>
        <w:t xml:space="preserve"> 11(2)</w:t>
      </w:r>
      <w:r w:rsidR="00F239C4" w:rsidRPr="00852C3B">
        <w:rPr>
          <w:rFonts w:ascii="Verdana" w:hAnsi="Verdana"/>
          <w:i/>
          <w:sz w:val="18"/>
          <w:szCs w:val="18"/>
        </w:rPr>
        <w:t>(l)</w:t>
      </w:r>
      <w:r w:rsidR="00F239C4" w:rsidRPr="00852C3B">
        <w:rPr>
          <w:rFonts w:ascii="Verdana" w:hAnsi="Verdana"/>
          <w:sz w:val="18"/>
          <w:szCs w:val="18"/>
        </w:rPr>
        <w:t xml:space="preserve"> </w:t>
      </w:r>
    </w:p>
    <w:p w:rsidR="00852C3B" w:rsidRPr="00852C3B" w:rsidRDefault="00852C3B" w:rsidP="00852C3B">
      <w:pPr>
        <w:overflowPunct/>
        <w:autoSpaceDE/>
        <w:autoSpaceDN/>
        <w:adjustRightInd/>
        <w:jc w:val="both"/>
        <w:textAlignment w:val="auto"/>
        <w:rPr>
          <w:rFonts w:ascii="Verdana" w:hAnsi="Verdana"/>
          <w:b/>
          <w:sz w:val="18"/>
          <w:szCs w:val="18"/>
        </w:rPr>
      </w:pPr>
    </w:p>
    <w:p w:rsidR="00F239C4" w:rsidRPr="00852C3B" w:rsidRDefault="009522FF" w:rsidP="00852C3B">
      <w:pPr>
        <w:overflowPunct/>
        <w:autoSpaceDE/>
        <w:autoSpaceDN/>
        <w:adjustRightInd/>
        <w:jc w:val="both"/>
        <w:textAlignment w:val="auto"/>
        <w:rPr>
          <w:rFonts w:ascii="Verdana" w:hAnsi="Verdana"/>
          <w:sz w:val="18"/>
          <w:szCs w:val="18"/>
          <w:lang w:val="en-ZA" w:eastAsia="en-ZA"/>
        </w:rPr>
      </w:pPr>
      <w:r w:rsidRPr="00852C3B">
        <w:rPr>
          <w:rFonts w:ascii="Verdana" w:hAnsi="Verdana"/>
          <w:b/>
          <w:sz w:val="18"/>
          <w:szCs w:val="18"/>
        </w:rPr>
        <w:t xml:space="preserve">Executive summary: </w:t>
      </w:r>
      <w:r w:rsidRPr="00852C3B">
        <w:rPr>
          <w:rFonts w:ascii="Verdana" w:hAnsi="Verdana"/>
          <w:sz w:val="18"/>
          <w:szCs w:val="18"/>
        </w:rPr>
        <w:t>This n</w:t>
      </w:r>
      <w:r w:rsidR="00F239C4" w:rsidRPr="00852C3B">
        <w:rPr>
          <w:rFonts w:ascii="Verdana" w:hAnsi="Verdana"/>
          <w:sz w:val="18"/>
          <w:szCs w:val="18"/>
        </w:rPr>
        <w:t>ote explains the VAT treatment of various supplies made to for</w:t>
      </w:r>
      <w:r w:rsidRPr="00852C3B">
        <w:rPr>
          <w:rFonts w:ascii="Verdana" w:hAnsi="Verdana"/>
          <w:sz w:val="18"/>
          <w:szCs w:val="18"/>
        </w:rPr>
        <w:t xml:space="preserve">eign hunters which includes </w:t>
      </w:r>
      <w:r w:rsidR="00F239C4" w:rsidRPr="00852C3B">
        <w:rPr>
          <w:rFonts w:ascii="Verdana" w:hAnsi="Verdana"/>
          <w:sz w:val="18"/>
          <w:szCs w:val="18"/>
        </w:rPr>
        <w:t>hunting services</w:t>
      </w:r>
      <w:r w:rsidRPr="00852C3B">
        <w:rPr>
          <w:rFonts w:ascii="Verdana" w:hAnsi="Verdana"/>
          <w:sz w:val="18"/>
          <w:szCs w:val="18"/>
        </w:rPr>
        <w:t xml:space="preserve">, taxidermy services, </w:t>
      </w:r>
      <w:proofErr w:type="gramStart"/>
      <w:r w:rsidRPr="00852C3B">
        <w:rPr>
          <w:rFonts w:ascii="Verdana" w:hAnsi="Verdana"/>
          <w:sz w:val="18"/>
          <w:szCs w:val="18"/>
        </w:rPr>
        <w:t>the</w:t>
      </w:r>
      <w:proofErr w:type="gramEnd"/>
      <w:r w:rsidRPr="00852C3B">
        <w:rPr>
          <w:rFonts w:ascii="Verdana" w:hAnsi="Verdana"/>
          <w:sz w:val="18"/>
          <w:szCs w:val="18"/>
        </w:rPr>
        <w:t xml:space="preserve"> supply of a trophy and </w:t>
      </w:r>
      <w:r w:rsidR="00F239C4" w:rsidRPr="00852C3B">
        <w:rPr>
          <w:rFonts w:ascii="Verdana" w:hAnsi="Verdana"/>
          <w:sz w:val="18"/>
          <w:szCs w:val="18"/>
        </w:rPr>
        <w:t>the subsequent</w:t>
      </w:r>
      <w:r w:rsidRPr="00852C3B">
        <w:rPr>
          <w:rFonts w:ascii="Verdana" w:hAnsi="Verdana"/>
          <w:sz w:val="18"/>
          <w:szCs w:val="18"/>
        </w:rPr>
        <w:t xml:space="preserve"> export of the trophy. This note</w:t>
      </w:r>
      <w:r w:rsidR="00F239C4" w:rsidRPr="00852C3B">
        <w:rPr>
          <w:rFonts w:ascii="Verdana" w:hAnsi="Verdana"/>
          <w:sz w:val="18"/>
          <w:szCs w:val="18"/>
        </w:rPr>
        <w:t xml:space="preserve"> </w:t>
      </w:r>
      <w:r w:rsidRPr="00852C3B">
        <w:rPr>
          <w:rFonts w:ascii="Verdana" w:hAnsi="Verdana"/>
          <w:sz w:val="18"/>
          <w:szCs w:val="18"/>
        </w:rPr>
        <w:t xml:space="preserve">withdraws VAT Practice Note </w:t>
      </w:r>
      <w:r w:rsidR="00F239C4" w:rsidRPr="00852C3B">
        <w:rPr>
          <w:rFonts w:ascii="Verdana" w:hAnsi="Verdana"/>
          <w:sz w:val="18"/>
          <w:szCs w:val="18"/>
        </w:rPr>
        <w:t>13 dated 6 September 1994.</w:t>
      </w:r>
    </w:p>
    <w:p w:rsidR="00F239C4" w:rsidRPr="00852C3B" w:rsidRDefault="00F239C4" w:rsidP="00852C3B">
      <w:pPr>
        <w:overflowPunct/>
        <w:autoSpaceDE/>
        <w:autoSpaceDN/>
        <w:adjustRightInd/>
        <w:jc w:val="both"/>
        <w:textAlignment w:val="auto"/>
        <w:rPr>
          <w:rFonts w:ascii="Verdana" w:hAnsi="Verdana"/>
          <w:sz w:val="18"/>
          <w:szCs w:val="18"/>
          <w:lang w:val="en-ZA" w:eastAsia="en-ZA"/>
        </w:rPr>
      </w:pPr>
    </w:p>
    <w:p w:rsidR="00F239C4" w:rsidRDefault="00F239C4" w:rsidP="000D4FE7">
      <w:pPr>
        <w:overflowPunct/>
        <w:autoSpaceDE/>
        <w:autoSpaceDN/>
        <w:adjustRightInd/>
        <w:jc w:val="both"/>
        <w:textAlignment w:val="auto"/>
        <w:rPr>
          <w:rFonts w:ascii="Verdana" w:hAnsi="Verdana"/>
          <w:sz w:val="18"/>
          <w:szCs w:val="18"/>
          <w:lang w:val="en-ZA" w:eastAsia="en-ZA"/>
        </w:rPr>
      </w:pPr>
    </w:p>
    <w:p w:rsidR="002F2E83" w:rsidRDefault="002F2E83" w:rsidP="000D4FE7">
      <w:pPr>
        <w:overflowPunct/>
        <w:autoSpaceDE/>
        <w:autoSpaceDN/>
        <w:adjustRightInd/>
        <w:jc w:val="both"/>
        <w:textAlignment w:val="auto"/>
        <w:rPr>
          <w:rFonts w:ascii="Verdana" w:hAnsi="Verdana"/>
          <w:sz w:val="18"/>
          <w:szCs w:val="18"/>
          <w:lang w:val="en-ZA" w:eastAsia="en-ZA"/>
        </w:rPr>
      </w:pPr>
    </w:p>
    <w:p w:rsidR="002F2E83" w:rsidRPr="000D4FE7" w:rsidRDefault="002F2E83" w:rsidP="000D4FE7">
      <w:pPr>
        <w:overflowPunct/>
        <w:autoSpaceDE/>
        <w:autoSpaceDN/>
        <w:adjustRightInd/>
        <w:jc w:val="both"/>
        <w:textAlignment w:val="auto"/>
        <w:rPr>
          <w:rFonts w:ascii="Verdana" w:hAnsi="Verdana"/>
          <w:sz w:val="18"/>
          <w:szCs w:val="18"/>
          <w:lang w:val="en-ZA" w:eastAsia="en-ZA"/>
        </w:rPr>
      </w:pPr>
    </w:p>
    <w:p w:rsidR="00CD3296" w:rsidRPr="00546921" w:rsidRDefault="005C7EF8" w:rsidP="000D4FE7">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INTERPRETATION NOTE </w:t>
      </w:r>
      <w:r w:rsidR="00CD3296" w:rsidRPr="00546921">
        <w:rPr>
          <w:rFonts w:ascii="Verdana" w:hAnsi="Verdana"/>
          <w:b/>
          <w:sz w:val="18"/>
          <w:szCs w:val="18"/>
        </w:rPr>
        <w:t>82</w:t>
      </w:r>
    </w:p>
    <w:p w:rsidR="005C7EF8" w:rsidRPr="00546921" w:rsidRDefault="005C7EF8" w:rsidP="000D4FE7">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00CD3296" w:rsidRPr="00546921">
        <w:rPr>
          <w:rFonts w:ascii="Verdana" w:hAnsi="Verdana"/>
          <w:sz w:val="18"/>
          <w:szCs w:val="18"/>
        </w:rPr>
        <w:t xml:space="preserve"> 25 March 2015 </w:t>
      </w:r>
    </w:p>
    <w:p w:rsidR="00CD3296" w:rsidRPr="00546921" w:rsidRDefault="005C7EF8" w:rsidP="000D4FE7">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Value-Added Tax Act 89 of 1991</w:t>
      </w:r>
    </w:p>
    <w:p w:rsidR="005C7EF8" w:rsidRPr="00546921" w:rsidRDefault="005C7EF8" w:rsidP="000D4FE7">
      <w:pPr>
        <w:overflowPunct/>
        <w:autoSpaceDE/>
        <w:autoSpaceDN/>
        <w:adjustRightInd/>
        <w:jc w:val="both"/>
        <w:textAlignment w:val="auto"/>
        <w:rPr>
          <w:rFonts w:ascii="Verdana" w:hAnsi="Verdana"/>
          <w:sz w:val="18"/>
          <w:szCs w:val="18"/>
        </w:rPr>
      </w:pPr>
      <w:r w:rsidRPr="00546921">
        <w:rPr>
          <w:rFonts w:ascii="Verdana" w:hAnsi="Verdana"/>
          <w:b/>
          <w:sz w:val="18"/>
          <w:szCs w:val="18"/>
        </w:rPr>
        <w:lastRenderedPageBreak/>
        <w:t xml:space="preserve">Provisions: </w:t>
      </w:r>
      <w:r w:rsidR="000D4FE7" w:rsidRPr="00546921">
        <w:rPr>
          <w:rFonts w:ascii="Verdana" w:hAnsi="Verdana"/>
          <w:sz w:val="18"/>
          <w:szCs w:val="18"/>
        </w:rPr>
        <w:t>S</w:t>
      </w:r>
      <w:r w:rsidRPr="00546921">
        <w:rPr>
          <w:rFonts w:ascii="Verdana" w:hAnsi="Verdana"/>
          <w:sz w:val="18"/>
          <w:szCs w:val="18"/>
        </w:rPr>
        <w:t>ection</w:t>
      </w:r>
      <w:r w:rsidR="00FD67F4" w:rsidRPr="00546921">
        <w:rPr>
          <w:rFonts w:ascii="Verdana" w:hAnsi="Verdana"/>
          <w:sz w:val="18"/>
          <w:szCs w:val="18"/>
        </w:rPr>
        <w:t>s</w:t>
      </w:r>
      <w:r w:rsidRPr="00546921">
        <w:rPr>
          <w:rFonts w:ascii="Verdana" w:hAnsi="Verdana"/>
          <w:b/>
          <w:sz w:val="18"/>
          <w:szCs w:val="18"/>
        </w:rPr>
        <w:t xml:space="preserve"> </w:t>
      </w:r>
      <w:r w:rsidRPr="00546921">
        <w:rPr>
          <w:rFonts w:ascii="Verdana" w:hAnsi="Verdana"/>
          <w:sz w:val="18"/>
          <w:szCs w:val="18"/>
        </w:rPr>
        <w:t>1(1), 17(2</w:t>
      </w:r>
      <w:proofErr w:type="gramStart"/>
      <w:r w:rsidRPr="00546921">
        <w:rPr>
          <w:rFonts w:ascii="Verdana" w:hAnsi="Verdana"/>
          <w:sz w:val="18"/>
          <w:szCs w:val="18"/>
        </w:rPr>
        <w:t>)</w:t>
      </w:r>
      <w:r w:rsidRPr="00546921">
        <w:rPr>
          <w:rFonts w:ascii="Verdana" w:hAnsi="Verdana"/>
          <w:i/>
          <w:sz w:val="18"/>
          <w:szCs w:val="18"/>
        </w:rPr>
        <w:t>(</w:t>
      </w:r>
      <w:proofErr w:type="gramEnd"/>
      <w:r w:rsidRPr="00546921">
        <w:rPr>
          <w:rFonts w:ascii="Verdana" w:hAnsi="Verdana"/>
          <w:i/>
          <w:sz w:val="18"/>
          <w:szCs w:val="18"/>
        </w:rPr>
        <w:t>c)</w:t>
      </w:r>
      <w:r w:rsidRPr="00546921">
        <w:rPr>
          <w:rFonts w:ascii="Verdana" w:hAnsi="Verdana"/>
          <w:sz w:val="18"/>
          <w:szCs w:val="18"/>
        </w:rPr>
        <w:t xml:space="preserve"> and</w:t>
      </w:r>
      <w:r w:rsidR="00CD3296" w:rsidRPr="00546921">
        <w:rPr>
          <w:rFonts w:ascii="Verdana" w:hAnsi="Verdana"/>
          <w:sz w:val="18"/>
          <w:szCs w:val="18"/>
        </w:rPr>
        <w:t xml:space="preserve"> 18</w:t>
      </w:r>
    </w:p>
    <w:p w:rsidR="000D4FE7" w:rsidRPr="00546921" w:rsidRDefault="000D4FE7" w:rsidP="000D4FE7">
      <w:pPr>
        <w:overflowPunct/>
        <w:autoSpaceDE/>
        <w:autoSpaceDN/>
        <w:adjustRightInd/>
        <w:jc w:val="both"/>
        <w:textAlignment w:val="auto"/>
        <w:rPr>
          <w:rFonts w:ascii="Verdana" w:hAnsi="Verdana"/>
          <w:b/>
          <w:sz w:val="18"/>
          <w:szCs w:val="18"/>
        </w:rPr>
      </w:pPr>
    </w:p>
    <w:p w:rsidR="0008202A" w:rsidRPr="00546921" w:rsidRDefault="005C7EF8" w:rsidP="000D4FE7">
      <w:pPr>
        <w:overflowPunct/>
        <w:autoSpaceDE/>
        <w:autoSpaceDN/>
        <w:adjustRightInd/>
        <w:jc w:val="both"/>
        <w:textAlignment w:val="auto"/>
        <w:rPr>
          <w:rFonts w:ascii="Verdana" w:hAnsi="Verdana"/>
          <w:sz w:val="18"/>
          <w:szCs w:val="18"/>
          <w:lang w:val="en-ZA" w:eastAsia="en-ZA"/>
        </w:rPr>
      </w:pPr>
      <w:r w:rsidRPr="00546921">
        <w:rPr>
          <w:rFonts w:ascii="Verdana" w:hAnsi="Verdana"/>
          <w:b/>
          <w:sz w:val="18"/>
          <w:szCs w:val="18"/>
        </w:rPr>
        <w:t xml:space="preserve">Executive summary: </w:t>
      </w:r>
      <w:r w:rsidRPr="00546921">
        <w:rPr>
          <w:rFonts w:ascii="Verdana" w:hAnsi="Verdana"/>
          <w:sz w:val="18"/>
          <w:szCs w:val="18"/>
        </w:rPr>
        <w:t>This note</w:t>
      </w:r>
      <w:r w:rsidR="00CD3296" w:rsidRPr="00546921">
        <w:rPr>
          <w:rFonts w:ascii="Verdana" w:hAnsi="Verdana"/>
          <w:sz w:val="18"/>
          <w:szCs w:val="18"/>
        </w:rPr>
        <w:t xml:space="preserve"> sets out the</w:t>
      </w:r>
      <w:r w:rsidRPr="00546921">
        <w:rPr>
          <w:rFonts w:ascii="Verdana" w:hAnsi="Verdana"/>
          <w:sz w:val="18"/>
          <w:szCs w:val="18"/>
        </w:rPr>
        <w:t xml:space="preserve"> </w:t>
      </w:r>
      <w:r w:rsidR="00CD3296" w:rsidRPr="00546921">
        <w:rPr>
          <w:rFonts w:ascii="Verdana" w:hAnsi="Verdana"/>
          <w:sz w:val="18"/>
          <w:szCs w:val="18"/>
        </w:rPr>
        <w:t xml:space="preserve">interpretation of the definition of </w:t>
      </w:r>
      <w:r w:rsidR="000D4FE7" w:rsidRPr="00546921">
        <w:rPr>
          <w:rFonts w:ascii="Verdana" w:hAnsi="Verdana"/>
          <w:sz w:val="18"/>
          <w:szCs w:val="18"/>
        </w:rPr>
        <w:t>‘</w:t>
      </w:r>
      <w:r w:rsidR="00CD3296" w:rsidRPr="00546921">
        <w:rPr>
          <w:rFonts w:ascii="Verdana" w:hAnsi="Verdana"/>
          <w:sz w:val="18"/>
          <w:szCs w:val="18"/>
        </w:rPr>
        <w:t>motor car</w:t>
      </w:r>
      <w:r w:rsidR="000D4FE7" w:rsidRPr="00546921">
        <w:rPr>
          <w:rFonts w:ascii="Verdana" w:hAnsi="Verdana"/>
          <w:sz w:val="18"/>
          <w:szCs w:val="18"/>
        </w:rPr>
        <w:t>’</w:t>
      </w:r>
      <w:r w:rsidR="00CD3296" w:rsidRPr="00546921">
        <w:rPr>
          <w:rFonts w:ascii="Verdana" w:hAnsi="Verdana"/>
          <w:sz w:val="18"/>
          <w:szCs w:val="18"/>
        </w:rPr>
        <w:t xml:space="preserve">; </w:t>
      </w:r>
      <w:r w:rsidRPr="00546921">
        <w:rPr>
          <w:rFonts w:ascii="Verdana" w:hAnsi="Verdana"/>
          <w:sz w:val="18"/>
          <w:szCs w:val="18"/>
        </w:rPr>
        <w:t>the</w:t>
      </w:r>
      <w:r w:rsidR="00CD3296" w:rsidRPr="00546921">
        <w:rPr>
          <w:rFonts w:ascii="Verdana" w:hAnsi="Verdana"/>
          <w:sz w:val="18"/>
          <w:szCs w:val="18"/>
        </w:rPr>
        <w:t xml:space="preserve"> general principle that VAT incurred on the acquisition of a motor car is not an input tax deduction; exceptions to the general principle, that is, </w:t>
      </w:r>
      <w:r w:rsidRPr="00546921">
        <w:rPr>
          <w:rFonts w:ascii="Verdana" w:hAnsi="Verdana"/>
          <w:sz w:val="18"/>
          <w:szCs w:val="18"/>
        </w:rPr>
        <w:t>the circumstances w</w:t>
      </w:r>
      <w:r w:rsidR="00FD67F4" w:rsidRPr="00546921">
        <w:rPr>
          <w:rFonts w:ascii="Verdana" w:hAnsi="Verdana"/>
          <w:sz w:val="18"/>
          <w:szCs w:val="18"/>
        </w:rPr>
        <w:t>h</w:t>
      </w:r>
      <w:r w:rsidRPr="00546921">
        <w:rPr>
          <w:rFonts w:ascii="Verdana" w:hAnsi="Verdana"/>
          <w:sz w:val="18"/>
          <w:szCs w:val="18"/>
        </w:rPr>
        <w:t>ere</w:t>
      </w:r>
      <w:r w:rsidR="00CD3296" w:rsidRPr="00546921">
        <w:rPr>
          <w:rFonts w:ascii="Verdana" w:hAnsi="Verdana"/>
          <w:sz w:val="18"/>
          <w:szCs w:val="18"/>
        </w:rPr>
        <w:t xml:space="preserve"> an input tax deduction is allowed on the acquisition of a motor car;</w:t>
      </w:r>
      <w:r w:rsidRPr="00546921">
        <w:rPr>
          <w:rFonts w:ascii="Verdana" w:hAnsi="Verdana"/>
          <w:sz w:val="18"/>
          <w:szCs w:val="18"/>
        </w:rPr>
        <w:t xml:space="preserve"> </w:t>
      </w:r>
      <w:r w:rsidR="00CD3296" w:rsidRPr="00546921">
        <w:rPr>
          <w:rFonts w:ascii="Verdana" w:hAnsi="Verdana"/>
          <w:sz w:val="18"/>
          <w:szCs w:val="18"/>
        </w:rPr>
        <w:t>instances when input tax may be deducted on the acquisition of accessories, modifications and c</w:t>
      </w:r>
      <w:r w:rsidRPr="00546921">
        <w:rPr>
          <w:rFonts w:ascii="Verdana" w:hAnsi="Verdana"/>
          <w:sz w:val="18"/>
          <w:szCs w:val="18"/>
        </w:rPr>
        <w:t xml:space="preserve">onversions to motor cars; and the </w:t>
      </w:r>
      <w:r w:rsidR="00CD3296" w:rsidRPr="00546921">
        <w:rPr>
          <w:rFonts w:ascii="Verdana" w:hAnsi="Verdana"/>
          <w:sz w:val="18"/>
          <w:szCs w:val="18"/>
        </w:rPr>
        <w:t xml:space="preserve">application of </w:t>
      </w:r>
      <w:r w:rsidR="00FD67F4" w:rsidRPr="00546921">
        <w:rPr>
          <w:rFonts w:ascii="Verdana" w:hAnsi="Verdana"/>
          <w:sz w:val="18"/>
          <w:szCs w:val="18"/>
        </w:rPr>
        <w:t xml:space="preserve">a </w:t>
      </w:r>
      <w:r w:rsidR="00CD3296" w:rsidRPr="00546921">
        <w:rPr>
          <w:rFonts w:ascii="Verdana" w:hAnsi="Verdana"/>
          <w:sz w:val="18"/>
          <w:szCs w:val="18"/>
        </w:rPr>
        <w:t>change in use adjustment to motor cars.</w:t>
      </w:r>
    </w:p>
    <w:p w:rsidR="00CD3296" w:rsidRPr="00546921" w:rsidRDefault="00CD3296" w:rsidP="00396919">
      <w:pPr>
        <w:overflowPunct/>
        <w:autoSpaceDE/>
        <w:autoSpaceDN/>
        <w:adjustRightInd/>
        <w:jc w:val="both"/>
        <w:textAlignment w:val="auto"/>
        <w:rPr>
          <w:rFonts w:ascii="Verdana" w:hAnsi="Verdana"/>
          <w:sz w:val="18"/>
          <w:szCs w:val="18"/>
          <w:lang w:val="en-ZA" w:eastAsia="en-ZA"/>
        </w:rPr>
      </w:pPr>
    </w:p>
    <w:p w:rsidR="00CD3296" w:rsidRPr="00546921" w:rsidRDefault="00CD3296" w:rsidP="00396919">
      <w:pPr>
        <w:overflowPunct/>
        <w:autoSpaceDE/>
        <w:autoSpaceDN/>
        <w:adjustRightInd/>
        <w:jc w:val="both"/>
        <w:textAlignment w:val="auto"/>
        <w:rPr>
          <w:rFonts w:ascii="Verdana" w:hAnsi="Verdana"/>
          <w:sz w:val="18"/>
          <w:szCs w:val="18"/>
          <w:lang w:val="en-ZA" w:eastAsia="en-ZA"/>
        </w:rPr>
      </w:pPr>
    </w:p>
    <w:p w:rsidR="005C7EF8" w:rsidRPr="00546921" w:rsidRDefault="005C7EF8" w:rsidP="00396919">
      <w:pPr>
        <w:overflowPunct/>
        <w:autoSpaceDE/>
        <w:autoSpaceDN/>
        <w:adjustRightInd/>
        <w:jc w:val="both"/>
        <w:textAlignment w:val="auto"/>
        <w:rPr>
          <w:rFonts w:ascii="Verdana" w:hAnsi="Verdana"/>
          <w:b/>
          <w:sz w:val="18"/>
          <w:szCs w:val="18"/>
        </w:rPr>
      </w:pPr>
      <w:r w:rsidRPr="00546921">
        <w:rPr>
          <w:rFonts w:ascii="Verdana" w:hAnsi="Verdana"/>
          <w:b/>
          <w:sz w:val="18"/>
          <w:szCs w:val="18"/>
        </w:rPr>
        <w:t>INTERPRETATION NOTE</w:t>
      </w:r>
      <w:r w:rsidR="005E6BB8" w:rsidRPr="00546921">
        <w:rPr>
          <w:rFonts w:ascii="Verdana" w:hAnsi="Verdana"/>
          <w:b/>
          <w:sz w:val="18"/>
          <w:szCs w:val="18"/>
        </w:rPr>
        <w:t xml:space="preserve"> 83 (Issue 2)</w:t>
      </w:r>
    </w:p>
    <w:p w:rsidR="005C7EF8" w:rsidRPr="00546921" w:rsidRDefault="005C7EF8" w:rsidP="0039691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Effective date: </w:t>
      </w:r>
      <w:r w:rsidR="005E6BB8" w:rsidRPr="00546921">
        <w:rPr>
          <w:rFonts w:ascii="Verdana" w:hAnsi="Verdana"/>
          <w:sz w:val="18"/>
          <w:szCs w:val="18"/>
        </w:rPr>
        <w:t>9 April 2015</w:t>
      </w:r>
    </w:p>
    <w:p w:rsidR="005C7EF8" w:rsidRPr="00546921" w:rsidRDefault="005C7EF8" w:rsidP="0039691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Value-Added Tax Act 89 of 1991</w:t>
      </w:r>
    </w:p>
    <w:p w:rsidR="005C7EF8" w:rsidRPr="00546921" w:rsidRDefault="005C7EF8" w:rsidP="0039691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Provisions: </w:t>
      </w:r>
      <w:r w:rsidR="00396919" w:rsidRPr="00546921">
        <w:rPr>
          <w:rFonts w:ascii="Verdana" w:hAnsi="Verdana"/>
          <w:sz w:val="18"/>
          <w:szCs w:val="18"/>
        </w:rPr>
        <w:t>S</w:t>
      </w:r>
      <w:r w:rsidRPr="00546921">
        <w:rPr>
          <w:rFonts w:ascii="Verdana" w:hAnsi="Verdana"/>
          <w:sz w:val="18"/>
          <w:szCs w:val="18"/>
        </w:rPr>
        <w:t xml:space="preserve">ections </w:t>
      </w:r>
      <w:r w:rsidR="005E6BB8" w:rsidRPr="00546921">
        <w:rPr>
          <w:rFonts w:ascii="Verdana" w:hAnsi="Verdana"/>
          <w:sz w:val="18"/>
          <w:szCs w:val="18"/>
        </w:rPr>
        <w:t>20(4), (5), (7), 21(1)</w:t>
      </w:r>
      <w:r w:rsidRPr="00546921">
        <w:rPr>
          <w:rFonts w:ascii="Verdana" w:hAnsi="Verdana"/>
          <w:sz w:val="18"/>
          <w:szCs w:val="18"/>
        </w:rPr>
        <w:t xml:space="preserve"> and</w:t>
      </w:r>
      <w:r w:rsidR="005E6BB8" w:rsidRPr="00546921">
        <w:rPr>
          <w:rFonts w:ascii="Verdana" w:hAnsi="Verdana"/>
          <w:sz w:val="18"/>
          <w:szCs w:val="18"/>
        </w:rPr>
        <w:t xml:space="preserve"> (5)</w:t>
      </w:r>
    </w:p>
    <w:p w:rsidR="000D4FE7" w:rsidRPr="00546921" w:rsidRDefault="000D4FE7" w:rsidP="00396919">
      <w:pPr>
        <w:overflowPunct/>
        <w:autoSpaceDE/>
        <w:autoSpaceDN/>
        <w:adjustRightInd/>
        <w:jc w:val="both"/>
        <w:textAlignment w:val="auto"/>
        <w:rPr>
          <w:rFonts w:ascii="Verdana" w:hAnsi="Verdana"/>
          <w:b/>
          <w:sz w:val="18"/>
          <w:szCs w:val="18"/>
        </w:rPr>
      </w:pPr>
    </w:p>
    <w:p w:rsidR="005E6BB8" w:rsidRPr="00546921" w:rsidRDefault="006820BC" w:rsidP="00396919">
      <w:pPr>
        <w:overflowPunct/>
        <w:autoSpaceDE/>
        <w:autoSpaceDN/>
        <w:adjustRightInd/>
        <w:jc w:val="both"/>
        <w:textAlignment w:val="auto"/>
        <w:rPr>
          <w:rFonts w:ascii="Verdana" w:hAnsi="Verdana"/>
          <w:sz w:val="18"/>
          <w:szCs w:val="18"/>
        </w:rPr>
      </w:pPr>
      <w:r w:rsidRPr="00546921">
        <w:rPr>
          <w:rFonts w:ascii="Verdana" w:hAnsi="Verdana"/>
          <w:b/>
          <w:sz w:val="18"/>
          <w:szCs w:val="18"/>
        </w:rPr>
        <w:t>Executive summary:</w:t>
      </w:r>
      <w:r w:rsidR="005E6BB8" w:rsidRPr="00546921">
        <w:rPr>
          <w:rFonts w:ascii="Verdana" w:hAnsi="Verdana"/>
          <w:sz w:val="18"/>
          <w:szCs w:val="18"/>
        </w:rPr>
        <w:t xml:space="preserve"> </w:t>
      </w:r>
      <w:r w:rsidR="005C7EF8" w:rsidRPr="00546921">
        <w:rPr>
          <w:rFonts w:ascii="Verdana" w:hAnsi="Verdana"/>
          <w:sz w:val="18"/>
          <w:szCs w:val="18"/>
        </w:rPr>
        <w:t xml:space="preserve">This note </w:t>
      </w:r>
      <w:r w:rsidR="005E6BB8" w:rsidRPr="00546921">
        <w:rPr>
          <w:rFonts w:ascii="Verdana" w:hAnsi="Verdana"/>
          <w:sz w:val="18"/>
          <w:szCs w:val="18"/>
        </w:rPr>
        <w:t>sets out the requirements that must be met in order for the Commissioner to</w:t>
      </w:r>
      <w:r w:rsidR="00396919" w:rsidRPr="00546921">
        <w:rPr>
          <w:rFonts w:ascii="Verdana" w:hAnsi="Verdana"/>
          <w:sz w:val="18"/>
          <w:szCs w:val="18"/>
        </w:rPr>
        <w:t xml:space="preserve"> apply the provisions of </w:t>
      </w:r>
      <w:proofErr w:type="spellStart"/>
      <w:r w:rsidR="00396919" w:rsidRPr="00546921">
        <w:rPr>
          <w:rFonts w:ascii="Verdana" w:hAnsi="Verdana"/>
          <w:sz w:val="18"/>
          <w:szCs w:val="18"/>
        </w:rPr>
        <w:t>s</w:t>
      </w:r>
      <w:r w:rsidR="005E6BB8" w:rsidRPr="00546921">
        <w:rPr>
          <w:rFonts w:ascii="Verdana" w:hAnsi="Verdana"/>
          <w:sz w:val="18"/>
          <w:szCs w:val="18"/>
        </w:rPr>
        <w:t>s</w:t>
      </w:r>
      <w:proofErr w:type="spellEnd"/>
      <w:r w:rsidR="005E6BB8" w:rsidRPr="00546921">
        <w:rPr>
          <w:rFonts w:ascii="Verdana" w:hAnsi="Verdana"/>
          <w:sz w:val="18"/>
          <w:szCs w:val="18"/>
        </w:rPr>
        <w:t xml:space="preserve"> 20(7) and 21(5); </w:t>
      </w:r>
      <w:r w:rsidR="00FD67F4" w:rsidRPr="00546921">
        <w:rPr>
          <w:rFonts w:ascii="Verdana" w:hAnsi="Verdana"/>
          <w:sz w:val="18"/>
          <w:szCs w:val="18"/>
        </w:rPr>
        <w:t xml:space="preserve">this note </w:t>
      </w:r>
      <w:r w:rsidR="005E6BB8" w:rsidRPr="00546921">
        <w:rPr>
          <w:rFonts w:ascii="Verdana" w:hAnsi="Verdana"/>
          <w:sz w:val="18"/>
          <w:szCs w:val="18"/>
        </w:rPr>
        <w:t>withdraws VAT Practice Note 2</w:t>
      </w:r>
      <w:r w:rsidR="005C7EF8" w:rsidRPr="00546921">
        <w:rPr>
          <w:rFonts w:ascii="Verdana" w:hAnsi="Verdana"/>
          <w:sz w:val="18"/>
          <w:szCs w:val="18"/>
        </w:rPr>
        <w:t xml:space="preserve"> dated 25 September 1991; and </w:t>
      </w:r>
      <w:r w:rsidR="005E6BB8" w:rsidRPr="00546921">
        <w:rPr>
          <w:rFonts w:ascii="Verdana" w:hAnsi="Verdana"/>
          <w:sz w:val="18"/>
          <w:szCs w:val="18"/>
        </w:rPr>
        <w:t xml:space="preserve">replicates under </w:t>
      </w:r>
      <w:r w:rsidR="00396919" w:rsidRPr="00546921">
        <w:rPr>
          <w:rFonts w:ascii="Verdana" w:hAnsi="Verdana"/>
          <w:sz w:val="18"/>
          <w:szCs w:val="18"/>
        </w:rPr>
        <w:t>s</w:t>
      </w:r>
      <w:r w:rsidR="005C7EF8" w:rsidRPr="00546921">
        <w:rPr>
          <w:rFonts w:ascii="Verdana" w:hAnsi="Verdana"/>
          <w:sz w:val="18"/>
          <w:szCs w:val="18"/>
        </w:rPr>
        <w:t xml:space="preserve"> </w:t>
      </w:r>
      <w:r w:rsidR="00396919" w:rsidRPr="00546921">
        <w:rPr>
          <w:rFonts w:ascii="Verdana" w:hAnsi="Verdana"/>
          <w:sz w:val="18"/>
          <w:szCs w:val="18"/>
        </w:rPr>
        <w:t>5 para</w:t>
      </w:r>
      <w:r w:rsidR="005E6BB8" w:rsidRPr="00546921">
        <w:rPr>
          <w:rFonts w:ascii="Verdana" w:hAnsi="Verdana"/>
          <w:sz w:val="18"/>
          <w:szCs w:val="18"/>
        </w:rPr>
        <w:t xml:space="preserve">s 2 and 3 of Binding General Ruling </w:t>
      </w:r>
      <w:r w:rsidR="005C7EF8" w:rsidRPr="00546921">
        <w:rPr>
          <w:rFonts w:ascii="Verdana" w:hAnsi="Verdana"/>
          <w:sz w:val="18"/>
          <w:szCs w:val="18"/>
        </w:rPr>
        <w:t xml:space="preserve">27 </w:t>
      </w:r>
      <w:r w:rsidR="005E6BB8" w:rsidRPr="00546921">
        <w:rPr>
          <w:rFonts w:ascii="Verdana" w:hAnsi="Verdana"/>
          <w:sz w:val="18"/>
          <w:szCs w:val="18"/>
        </w:rPr>
        <w:t>(VAT)</w:t>
      </w:r>
      <w:r w:rsidR="00994E46" w:rsidRPr="00546921">
        <w:rPr>
          <w:rFonts w:ascii="Verdana" w:hAnsi="Verdana"/>
          <w:sz w:val="18"/>
          <w:szCs w:val="18"/>
        </w:rPr>
        <w:t>. VAT Practice Note 2 of 25 September 1991 has been withdrawn and archived.</w:t>
      </w:r>
    </w:p>
    <w:p w:rsidR="005E6BB8" w:rsidRPr="00546921" w:rsidRDefault="005E6BB8" w:rsidP="00396919">
      <w:pPr>
        <w:overflowPunct/>
        <w:autoSpaceDE/>
        <w:autoSpaceDN/>
        <w:adjustRightInd/>
        <w:jc w:val="both"/>
        <w:textAlignment w:val="auto"/>
        <w:rPr>
          <w:rFonts w:ascii="Verdana" w:hAnsi="Verdana"/>
          <w:sz w:val="18"/>
          <w:szCs w:val="18"/>
          <w:lang w:val="en-ZA" w:eastAsia="en-ZA"/>
        </w:rPr>
      </w:pPr>
    </w:p>
    <w:p w:rsidR="0008202A" w:rsidRPr="00546921" w:rsidRDefault="0008202A" w:rsidP="00396919">
      <w:pPr>
        <w:overflowPunct/>
        <w:autoSpaceDE/>
        <w:autoSpaceDN/>
        <w:adjustRightInd/>
        <w:jc w:val="both"/>
        <w:textAlignment w:val="auto"/>
        <w:rPr>
          <w:rFonts w:ascii="Verdana" w:hAnsi="Verdana"/>
          <w:sz w:val="18"/>
          <w:szCs w:val="18"/>
          <w:lang w:val="en-ZA" w:eastAsia="en-ZA"/>
        </w:rPr>
      </w:pPr>
    </w:p>
    <w:p w:rsidR="00994E46" w:rsidRPr="00546921" w:rsidRDefault="00994E46" w:rsidP="00396919">
      <w:pPr>
        <w:overflowPunct/>
        <w:autoSpaceDE/>
        <w:autoSpaceDN/>
        <w:adjustRightInd/>
        <w:jc w:val="both"/>
        <w:textAlignment w:val="auto"/>
        <w:rPr>
          <w:rFonts w:ascii="Verdana" w:hAnsi="Verdana"/>
          <w:b/>
          <w:sz w:val="18"/>
          <w:szCs w:val="18"/>
        </w:rPr>
      </w:pPr>
      <w:r w:rsidRPr="00546921">
        <w:rPr>
          <w:rFonts w:ascii="Verdana" w:hAnsi="Verdana"/>
          <w:b/>
          <w:sz w:val="18"/>
          <w:szCs w:val="18"/>
        </w:rPr>
        <w:t xml:space="preserve">INTERPRETATION NOTE </w:t>
      </w:r>
      <w:r w:rsidR="002A00C1" w:rsidRPr="00546921">
        <w:rPr>
          <w:rFonts w:ascii="Verdana" w:hAnsi="Verdana"/>
          <w:b/>
          <w:sz w:val="18"/>
          <w:szCs w:val="18"/>
        </w:rPr>
        <w:t xml:space="preserve">84 </w:t>
      </w:r>
    </w:p>
    <w:p w:rsidR="00994E46" w:rsidRPr="00546921" w:rsidRDefault="00994E46" w:rsidP="00396919">
      <w:pPr>
        <w:overflowPunct/>
        <w:autoSpaceDE/>
        <w:autoSpaceDN/>
        <w:adjustRightInd/>
        <w:jc w:val="both"/>
        <w:textAlignment w:val="auto"/>
        <w:rPr>
          <w:rFonts w:ascii="Verdana" w:hAnsi="Verdana"/>
          <w:sz w:val="18"/>
          <w:szCs w:val="18"/>
        </w:rPr>
      </w:pPr>
      <w:r w:rsidRPr="00546921">
        <w:rPr>
          <w:rFonts w:ascii="Verdana" w:hAnsi="Verdana"/>
          <w:b/>
          <w:sz w:val="18"/>
          <w:szCs w:val="18"/>
        </w:rPr>
        <w:t>Effective date:</w:t>
      </w:r>
      <w:r w:rsidR="002A00C1" w:rsidRPr="00546921">
        <w:rPr>
          <w:rFonts w:ascii="Verdana" w:hAnsi="Verdana"/>
          <w:sz w:val="18"/>
          <w:szCs w:val="18"/>
        </w:rPr>
        <w:t xml:space="preserve"> 26 March 2015</w:t>
      </w:r>
    </w:p>
    <w:p w:rsidR="00994E46" w:rsidRPr="00396919" w:rsidRDefault="00994E46" w:rsidP="00396919">
      <w:pPr>
        <w:overflowPunct/>
        <w:autoSpaceDE/>
        <w:autoSpaceDN/>
        <w:adjustRightInd/>
        <w:jc w:val="both"/>
        <w:textAlignment w:val="auto"/>
        <w:rPr>
          <w:rFonts w:ascii="Verdana" w:hAnsi="Verdana"/>
          <w:sz w:val="18"/>
          <w:szCs w:val="18"/>
        </w:rPr>
      </w:pPr>
      <w:r w:rsidRPr="00546921">
        <w:rPr>
          <w:rFonts w:ascii="Verdana" w:hAnsi="Verdana"/>
          <w:b/>
          <w:sz w:val="18"/>
          <w:szCs w:val="18"/>
        </w:rPr>
        <w:t xml:space="preserve">Affected legislation: </w:t>
      </w:r>
      <w:r w:rsidRPr="00546921">
        <w:rPr>
          <w:rFonts w:ascii="Verdana" w:hAnsi="Verdana"/>
          <w:sz w:val="18"/>
          <w:szCs w:val="18"/>
        </w:rPr>
        <w:t>Value-Added Tax Act</w:t>
      </w:r>
      <w:r w:rsidRPr="00396919">
        <w:rPr>
          <w:rFonts w:ascii="Verdana" w:hAnsi="Verdana"/>
          <w:sz w:val="18"/>
          <w:szCs w:val="18"/>
        </w:rPr>
        <w:t xml:space="preserve"> 89 of 1991</w:t>
      </w:r>
    </w:p>
    <w:p w:rsidR="00994E46" w:rsidRPr="00396919" w:rsidRDefault="00994E46" w:rsidP="00396919">
      <w:pPr>
        <w:overflowPunct/>
        <w:autoSpaceDE/>
        <w:autoSpaceDN/>
        <w:adjustRightInd/>
        <w:jc w:val="both"/>
        <w:textAlignment w:val="auto"/>
        <w:rPr>
          <w:rFonts w:ascii="Verdana" w:hAnsi="Verdana"/>
          <w:sz w:val="18"/>
          <w:szCs w:val="18"/>
        </w:rPr>
      </w:pPr>
      <w:r w:rsidRPr="00396919">
        <w:rPr>
          <w:rFonts w:ascii="Verdana" w:hAnsi="Verdana"/>
          <w:b/>
          <w:sz w:val="18"/>
          <w:szCs w:val="18"/>
        </w:rPr>
        <w:t xml:space="preserve">Provisions: </w:t>
      </w:r>
      <w:r w:rsidR="00396919" w:rsidRPr="00396919">
        <w:rPr>
          <w:rFonts w:ascii="Verdana" w:hAnsi="Verdana"/>
          <w:sz w:val="18"/>
          <w:szCs w:val="18"/>
        </w:rPr>
        <w:t>S</w:t>
      </w:r>
      <w:r w:rsidRPr="00396919">
        <w:rPr>
          <w:rFonts w:ascii="Verdana" w:hAnsi="Verdana"/>
          <w:sz w:val="18"/>
          <w:szCs w:val="18"/>
        </w:rPr>
        <w:t>ection</w:t>
      </w:r>
      <w:r w:rsidR="002A00C1" w:rsidRPr="00396919">
        <w:rPr>
          <w:rFonts w:ascii="Verdana" w:hAnsi="Verdana"/>
          <w:sz w:val="18"/>
          <w:szCs w:val="18"/>
        </w:rPr>
        <w:t xml:space="preserve"> 8(13), 9(3</w:t>
      </w:r>
      <w:proofErr w:type="gramStart"/>
      <w:r w:rsidR="002A00C1" w:rsidRPr="00396919">
        <w:rPr>
          <w:rFonts w:ascii="Verdana" w:hAnsi="Verdana"/>
          <w:sz w:val="18"/>
          <w:szCs w:val="18"/>
        </w:rPr>
        <w:t>)</w:t>
      </w:r>
      <w:r w:rsidR="002A00C1" w:rsidRPr="00396919">
        <w:rPr>
          <w:rFonts w:ascii="Verdana" w:hAnsi="Verdana"/>
          <w:i/>
          <w:sz w:val="18"/>
          <w:szCs w:val="18"/>
        </w:rPr>
        <w:t>(</w:t>
      </w:r>
      <w:proofErr w:type="gramEnd"/>
      <w:r w:rsidR="002A00C1" w:rsidRPr="00396919">
        <w:rPr>
          <w:rFonts w:ascii="Verdana" w:hAnsi="Verdana"/>
          <w:i/>
          <w:sz w:val="18"/>
          <w:szCs w:val="18"/>
        </w:rPr>
        <w:t>e)</w:t>
      </w:r>
      <w:r w:rsidR="002A00C1" w:rsidRPr="00396919">
        <w:rPr>
          <w:rFonts w:ascii="Verdana" w:hAnsi="Verdana"/>
          <w:sz w:val="18"/>
          <w:szCs w:val="18"/>
        </w:rPr>
        <w:t>, 10(17) and 16(3)</w:t>
      </w:r>
      <w:r w:rsidR="002A00C1" w:rsidRPr="00396919">
        <w:rPr>
          <w:rFonts w:ascii="Verdana" w:hAnsi="Verdana"/>
          <w:i/>
          <w:sz w:val="18"/>
          <w:szCs w:val="18"/>
        </w:rPr>
        <w:t>(d)</w:t>
      </w:r>
      <w:r w:rsidR="002A00C1" w:rsidRPr="00396919">
        <w:rPr>
          <w:rFonts w:ascii="Verdana" w:hAnsi="Verdana"/>
          <w:sz w:val="18"/>
          <w:szCs w:val="18"/>
        </w:rPr>
        <w:t xml:space="preserve"> </w:t>
      </w:r>
    </w:p>
    <w:p w:rsidR="00396919" w:rsidRPr="00396919" w:rsidRDefault="00396919" w:rsidP="00396919">
      <w:pPr>
        <w:overflowPunct/>
        <w:autoSpaceDE/>
        <w:autoSpaceDN/>
        <w:adjustRightInd/>
        <w:jc w:val="both"/>
        <w:textAlignment w:val="auto"/>
        <w:rPr>
          <w:rFonts w:ascii="Verdana" w:hAnsi="Verdana"/>
          <w:b/>
          <w:sz w:val="18"/>
          <w:szCs w:val="18"/>
        </w:rPr>
      </w:pPr>
    </w:p>
    <w:p w:rsidR="005E6BB8" w:rsidRPr="00396919" w:rsidRDefault="00994E46" w:rsidP="00396919">
      <w:pPr>
        <w:overflowPunct/>
        <w:autoSpaceDE/>
        <w:autoSpaceDN/>
        <w:adjustRightInd/>
        <w:jc w:val="both"/>
        <w:textAlignment w:val="auto"/>
        <w:rPr>
          <w:rFonts w:ascii="Verdana" w:hAnsi="Verdana"/>
          <w:sz w:val="18"/>
          <w:szCs w:val="18"/>
          <w:lang w:val="en-ZA" w:eastAsia="en-ZA"/>
        </w:rPr>
      </w:pPr>
      <w:r w:rsidRPr="00396919">
        <w:rPr>
          <w:rFonts w:ascii="Verdana" w:hAnsi="Verdana"/>
          <w:b/>
          <w:sz w:val="18"/>
          <w:szCs w:val="18"/>
        </w:rPr>
        <w:t xml:space="preserve">Executive summary: </w:t>
      </w:r>
      <w:r w:rsidRPr="00396919">
        <w:rPr>
          <w:rFonts w:ascii="Verdana" w:hAnsi="Verdana"/>
          <w:sz w:val="18"/>
          <w:szCs w:val="18"/>
        </w:rPr>
        <w:t xml:space="preserve">This note clarifies what </w:t>
      </w:r>
      <w:r w:rsidR="002A00C1" w:rsidRPr="00396919">
        <w:rPr>
          <w:rFonts w:ascii="Verdana" w:hAnsi="Verdana"/>
          <w:sz w:val="18"/>
          <w:szCs w:val="18"/>
        </w:rPr>
        <w:t>consti</w:t>
      </w:r>
      <w:r w:rsidRPr="00396919">
        <w:rPr>
          <w:rFonts w:ascii="Verdana" w:hAnsi="Verdana"/>
          <w:sz w:val="18"/>
          <w:szCs w:val="18"/>
        </w:rPr>
        <w:t xml:space="preserve">tutes a bet and the </w:t>
      </w:r>
      <w:r w:rsidR="002A00C1" w:rsidRPr="00396919">
        <w:rPr>
          <w:rFonts w:ascii="Verdana" w:hAnsi="Verdana"/>
          <w:sz w:val="18"/>
          <w:szCs w:val="18"/>
        </w:rPr>
        <w:t>VAT treatment of a bet</w:t>
      </w:r>
      <w:r w:rsidRPr="00396919">
        <w:rPr>
          <w:rFonts w:ascii="Verdana" w:hAnsi="Verdana"/>
          <w:sz w:val="18"/>
          <w:szCs w:val="18"/>
        </w:rPr>
        <w:t>.</w:t>
      </w:r>
    </w:p>
    <w:p w:rsidR="005E6BB8" w:rsidRPr="00396919" w:rsidRDefault="005E6BB8" w:rsidP="00396919">
      <w:pPr>
        <w:overflowPunct/>
        <w:autoSpaceDE/>
        <w:autoSpaceDN/>
        <w:adjustRightInd/>
        <w:jc w:val="both"/>
        <w:textAlignment w:val="auto"/>
        <w:rPr>
          <w:rFonts w:ascii="Verdana" w:hAnsi="Verdana"/>
          <w:sz w:val="18"/>
          <w:szCs w:val="18"/>
          <w:lang w:val="en-ZA" w:eastAsia="en-ZA"/>
        </w:rPr>
      </w:pPr>
    </w:p>
    <w:p w:rsidR="00994E46" w:rsidRPr="00396919" w:rsidRDefault="00994E46" w:rsidP="00396919">
      <w:pPr>
        <w:overflowPunct/>
        <w:autoSpaceDE/>
        <w:autoSpaceDN/>
        <w:adjustRightInd/>
        <w:jc w:val="both"/>
        <w:textAlignment w:val="auto"/>
        <w:rPr>
          <w:rFonts w:ascii="Verdana" w:hAnsi="Verdana"/>
          <w:sz w:val="18"/>
          <w:szCs w:val="18"/>
          <w:lang w:val="en-ZA" w:eastAsia="en-ZA"/>
        </w:rPr>
      </w:pPr>
    </w:p>
    <w:p w:rsidR="009522FF" w:rsidRPr="00396919" w:rsidRDefault="00994E46" w:rsidP="000709F1">
      <w:pPr>
        <w:overflowPunct/>
        <w:autoSpaceDE/>
        <w:autoSpaceDN/>
        <w:adjustRightInd/>
        <w:textAlignment w:val="auto"/>
        <w:rPr>
          <w:rFonts w:ascii="Verdana" w:hAnsi="Verdana"/>
          <w:b/>
          <w:sz w:val="18"/>
          <w:szCs w:val="18"/>
        </w:rPr>
      </w:pPr>
      <w:r w:rsidRPr="00546921">
        <w:rPr>
          <w:rFonts w:ascii="Verdana" w:hAnsi="Verdana"/>
          <w:b/>
          <w:sz w:val="18"/>
          <w:szCs w:val="18"/>
        </w:rPr>
        <w:t xml:space="preserve">INTERPRETATION NOTE </w:t>
      </w:r>
      <w:r w:rsidR="00DC7DDA">
        <w:rPr>
          <w:rFonts w:ascii="Verdana" w:hAnsi="Verdana"/>
          <w:b/>
          <w:sz w:val="18"/>
          <w:szCs w:val="18"/>
        </w:rPr>
        <w:t>85</w:t>
      </w:r>
    </w:p>
    <w:p w:rsidR="009522FF" w:rsidRPr="00396919" w:rsidRDefault="00994E46" w:rsidP="000709F1">
      <w:pPr>
        <w:overflowPunct/>
        <w:autoSpaceDE/>
        <w:autoSpaceDN/>
        <w:adjustRightInd/>
        <w:textAlignment w:val="auto"/>
        <w:rPr>
          <w:rFonts w:ascii="Verdana" w:hAnsi="Verdana"/>
          <w:sz w:val="18"/>
          <w:szCs w:val="18"/>
        </w:rPr>
      </w:pPr>
      <w:r w:rsidRPr="00396919">
        <w:rPr>
          <w:rFonts w:ascii="Verdana" w:hAnsi="Verdana"/>
          <w:b/>
          <w:sz w:val="18"/>
          <w:szCs w:val="18"/>
        </w:rPr>
        <w:t xml:space="preserve">Effective date: </w:t>
      </w:r>
      <w:r w:rsidR="009522FF" w:rsidRPr="00396919">
        <w:rPr>
          <w:rFonts w:ascii="Verdana" w:hAnsi="Verdana"/>
          <w:sz w:val="18"/>
          <w:szCs w:val="18"/>
        </w:rPr>
        <w:t xml:space="preserve">27 March 2015 </w:t>
      </w:r>
    </w:p>
    <w:p w:rsidR="009522FF" w:rsidRPr="00396919" w:rsidRDefault="00994E46" w:rsidP="000709F1">
      <w:pPr>
        <w:overflowPunct/>
        <w:autoSpaceDE/>
        <w:autoSpaceDN/>
        <w:adjustRightInd/>
        <w:textAlignment w:val="auto"/>
        <w:rPr>
          <w:rFonts w:ascii="Verdana" w:hAnsi="Verdana"/>
          <w:sz w:val="18"/>
          <w:szCs w:val="18"/>
        </w:rPr>
      </w:pPr>
      <w:r w:rsidRPr="00396919">
        <w:rPr>
          <w:rFonts w:ascii="Verdana" w:hAnsi="Verdana"/>
          <w:b/>
          <w:sz w:val="18"/>
          <w:szCs w:val="18"/>
        </w:rPr>
        <w:t xml:space="preserve">Affected legislation: </w:t>
      </w:r>
      <w:r w:rsidRPr="00396919">
        <w:rPr>
          <w:rFonts w:ascii="Verdana" w:hAnsi="Verdana"/>
          <w:sz w:val="18"/>
          <w:szCs w:val="18"/>
        </w:rPr>
        <w:t>Value-Added Tax Act 89 of 1991</w:t>
      </w:r>
      <w:r w:rsidR="009522FF" w:rsidRPr="00396919">
        <w:rPr>
          <w:rFonts w:ascii="Verdana" w:hAnsi="Verdana"/>
          <w:sz w:val="18"/>
          <w:szCs w:val="18"/>
        </w:rPr>
        <w:t xml:space="preserve"> </w:t>
      </w:r>
    </w:p>
    <w:p w:rsidR="00994E46" w:rsidRPr="00396919" w:rsidRDefault="00994E46" w:rsidP="000709F1">
      <w:pPr>
        <w:overflowPunct/>
        <w:autoSpaceDE/>
        <w:autoSpaceDN/>
        <w:adjustRightInd/>
        <w:textAlignment w:val="auto"/>
        <w:rPr>
          <w:rFonts w:ascii="Verdana" w:hAnsi="Verdana"/>
          <w:sz w:val="18"/>
          <w:szCs w:val="18"/>
        </w:rPr>
      </w:pPr>
      <w:r w:rsidRPr="00396919">
        <w:rPr>
          <w:rFonts w:ascii="Verdana" w:hAnsi="Verdana"/>
          <w:b/>
          <w:sz w:val="18"/>
          <w:szCs w:val="18"/>
        </w:rPr>
        <w:t xml:space="preserve">Provisions: </w:t>
      </w:r>
      <w:r w:rsidR="00396919" w:rsidRPr="00396919">
        <w:rPr>
          <w:rFonts w:ascii="Verdana" w:hAnsi="Verdana"/>
          <w:sz w:val="18"/>
          <w:szCs w:val="18"/>
        </w:rPr>
        <w:t>S</w:t>
      </w:r>
      <w:r w:rsidRPr="00396919">
        <w:rPr>
          <w:rFonts w:ascii="Verdana" w:hAnsi="Verdana"/>
          <w:sz w:val="18"/>
          <w:szCs w:val="18"/>
        </w:rPr>
        <w:t xml:space="preserve">ection </w:t>
      </w:r>
      <w:r w:rsidR="009522FF" w:rsidRPr="00396919">
        <w:rPr>
          <w:rFonts w:ascii="Verdana" w:hAnsi="Verdana"/>
          <w:sz w:val="18"/>
          <w:szCs w:val="18"/>
        </w:rPr>
        <w:t>1(2</w:t>
      </w:r>
      <w:proofErr w:type="gramStart"/>
      <w:r w:rsidR="009522FF" w:rsidRPr="00396919">
        <w:rPr>
          <w:rFonts w:ascii="Verdana" w:hAnsi="Verdana"/>
          <w:sz w:val="18"/>
          <w:szCs w:val="18"/>
        </w:rPr>
        <w:t>)</w:t>
      </w:r>
      <w:r w:rsidR="009522FF" w:rsidRPr="00396919">
        <w:rPr>
          <w:rFonts w:ascii="Verdana" w:hAnsi="Verdana"/>
          <w:i/>
          <w:sz w:val="18"/>
          <w:szCs w:val="18"/>
        </w:rPr>
        <w:t>(</w:t>
      </w:r>
      <w:proofErr w:type="gramEnd"/>
      <w:r w:rsidR="009522FF" w:rsidRPr="00396919">
        <w:rPr>
          <w:rFonts w:ascii="Verdana" w:hAnsi="Verdana"/>
          <w:i/>
          <w:sz w:val="18"/>
          <w:szCs w:val="18"/>
        </w:rPr>
        <w:t>l)</w:t>
      </w:r>
    </w:p>
    <w:p w:rsidR="00396919" w:rsidRPr="00396919" w:rsidRDefault="00396919" w:rsidP="00655261">
      <w:pPr>
        <w:overflowPunct/>
        <w:autoSpaceDE/>
        <w:autoSpaceDN/>
        <w:adjustRightInd/>
        <w:textAlignment w:val="auto"/>
        <w:rPr>
          <w:rFonts w:ascii="Verdana" w:hAnsi="Verdana"/>
          <w:b/>
          <w:sz w:val="18"/>
          <w:szCs w:val="18"/>
        </w:rPr>
      </w:pPr>
    </w:p>
    <w:p w:rsidR="00021807" w:rsidRPr="00396919" w:rsidRDefault="00994E46" w:rsidP="00655261">
      <w:pPr>
        <w:overflowPunct/>
        <w:autoSpaceDE/>
        <w:autoSpaceDN/>
        <w:adjustRightInd/>
        <w:textAlignment w:val="auto"/>
        <w:rPr>
          <w:rFonts w:ascii="Verdana" w:hAnsi="Verdana"/>
          <w:sz w:val="18"/>
          <w:szCs w:val="18"/>
          <w:lang w:val="en-ZA" w:eastAsia="en-ZA"/>
        </w:rPr>
      </w:pPr>
      <w:r w:rsidRPr="00396919">
        <w:rPr>
          <w:rFonts w:ascii="Verdana" w:hAnsi="Verdana"/>
          <w:b/>
          <w:sz w:val="18"/>
          <w:szCs w:val="18"/>
        </w:rPr>
        <w:t xml:space="preserve">Executive summary: </w:t>
      </w:r>
      <w:r w:rsidRPr="00396919">
        <w:rPr>
          <w:rFonts w:ascii="Verdana" w:hAnsi="Verdana"/>
          <w:sz w:val="18"/>
          <w:szCs w:val="18"/>
        </w:rPr>
        <w:t>This n</w:t>
      </w:r>
      <w:r w:rsidR="009522FF" w:rsidRPr="00396919">
        <w:rPr>
          <w:rFonts w:ascii="Verdana" w:hAnsi="Verdana"/>
          <w:sz w:val="18"/>
          <w:szCs w:val="18"/>
        </w:rPr>
        <w:t>ote discusses the impact of the judgment of the</w:t>
      </w:r>
      <w:r w:rsidRPr="00396919">
        <w:rPr>
          <w:rFonts w:ascii="Verdana" w:hAnsi="Verdana"/>
          <w:sz w:val="18"/>
          <w:szCs w:val="18"/>
        </w:rPr>
        <w:t xml:space="preserve"> Supreme Court of Appeal </w:t>
      </w:r>
      <w:r w:rsidR="009522FF" w:rsidRPr="00396919">
        <w:rPr>
          <w:rFonts w:ascii="Verdana" w:hAnsi="Verdana"/>
          <w:sz w:val="18"/>
          <w:szCs w:val="18"/>
        </w:rPr>
        <w:t xml:space="preserve">in the </w:t>
      </w:r>
      <w:r w:rsidR="009522FF" w:rsidRPr="00396919">
        <w:rPr>
          <w:rFonts w:ascii="Verdana" w:hAnsi="Verdana"/>
          <w:i/>
          <w:sz w:val="18"/>
          <w:szCs w:val="18"/>
        </w:rPr>
        <w:t>Master Currency</w:t>
      </w:r>
      <w:r w:rsidRPr="00396919">
        <w:rPr>
          <w:rFonts w:ascii="Verdana" w:hAnsi="Verdana"/>
          <w:sz w:val="18"/>
          <w:szCs w:val="18"/>
        </w:rPr>
        <w:t xml:space="preserve"> case</w:t>
      </w:r>
      <w:r w:rsidR="009522FF" w:rsidRPr="00396919">
        <w:rPr>
          <w:rFonts w:ascii="Verdana" w:hAnsi="Verdana"/>
          <w:sz w:val="18"/>
          <w:szCs w:val="18"/>
        </w:rPr>
        <w:t xml:space="preserve"> on the interpretation and the application of s 11(2</w:t>
      </w:r>
      <w:proofErr w:type="gramStart"/>
      <w:r w:rsidR="009522FF" w:rsidRPr="00396919">
        <w:rPr>
          <w:rFonts w:ascii="Verdana" w:hAnsi="Verdana"/>
          <w:sz w:val="18"/>
          <w:szCs w:val="18"/>
        </w:rPr>
        <w:t>)</w:t>
      </w:r>
      <w:r w:rsidR="009522FF" w:rsidRPr="00396919">
        <w:rPr>
          <w:rFonts w:ascii="Verdana" w:hAnsi="Verdana"/>
          <w:i/>
          <w:sz w:val="18"/>
          <w:szCs w:val="18"/>
        </w:rPr>
        <w:t>(</w:t>
      </w:r>
      <w:proofErr w:type="gramEnd"/>
      <w:r w:rsidR="009522FF" w:rsidRPr="00396919">
        <w:rPr>
          <w:rFonts w:ascii="Verdana" w:hAnsi="Verdana"/>
          <w:i/>
          <w:sz w:val="18"/>
          <w:szCs w:val="18"/>
        </w:rPr>
        <w:t>l)</w:t>
      </w:r>
      <w:r w:rsidR="009522FF" w:rsidRPr="00396919">
        <w:rPr>
          <w:rFonts w:ascii="Verdana" w:hAnsi="Verdana"/>
          <w:sz w:val="18"/>
          <w:szCs w:val="18"/>
        </w:rPr>
        <w:t>, with particular reference to the p</w:t>
      </w:r>
      <w:r w:rsidRPr="00396919">
        <w:rPr>
          <w:rFonts w:ascii="Verdana" w:hAnsi="Verdana"/>
          <w:sz w:val="18"/>
          <w:szCs w:val="18"/>
        </w:rPr>
        <w:t>rinciples highlighted by the court</w:t>
      </w:r>
      <w:r w:rsidR="009522FF" w:rsidRPr="00396919">
        <w:rPr>
          <w:rFonts w:ascii="Verdana" w:hAnsi="Verdana"/>
          <w:sz w:val="18"/>
          <w:szCs w:val="18"/>
        </w:rPr>
        <w:t>.</w:t>
      </w:r>
    </w:p>
    <w:p w:rsidR="009522FF" w:rsidRPr="00396919" w:rsidRDefault="009522FF" w:rsidP="000709F1">
      <w:pPr>
        <w:overflowPunct/>
        <w:autoSpaceDE/>
        <w:autoSpaceDN/>
        <w:adjustRightInd/>
        <w:textAlignment w:val="auto"/>
        <w:rPr>
          <w:rFonts w:ascii="Verdana" w:hAnsi="Verdana"/>
          <w:sz w:val="18"/>
          <w:szCs w:val="18"/>
          <w:lang w:val="en-ZA" w:eastAsia="en-ZA"/>
        </w:rPr>
      </w:pPr>
    </w:p>
    <w:p w:rsidR="00CF7270" w:rsidRPr="00396919" w:rsidRDefault="00CF7270" w:rsidP="000709F1">
      <w:pPr>
        <w:overflowPunct/>
        <w:autoSpaceDE/>
        <w:autoSpaceDN/>
        <w:adjustRightInd/>
        <w:textAlignment w:val="auto"/>
        <w:rPr>
          <w:rFonts w:ascii="Verdana" w:hAnsi="Verdana"/>
          <w:sz w:val="18"/>
          <w:szCs w:val="18"/>
          <w:lang w:val="en-ZA" w:eastAsia="en-ZA"/>
        </w:rPr>
      </w:pPr>
    </w:p>
    <w:p w:rsidR="005C7EF8" w:rsidRDefault="005C7EF8" w:rsidP="00A3095C">
      <w:pPr>
        <w:pStyle w:val="NormalWeb"/>
        <w:spacing w:before="0" w:beforeAutospacing="0" w:after="0" w:afterAutospacing="0" w:line="240" w:lineRule="atLeast"/>
        <w:jc w:val="center"/>
        <w:rPr>
          <w:rFonts w:ascii="Verdana" w:hAnsi="Verdana"/>
          <w:b/>
          <w:color w:val="008080"/>
          <w:sz w:val="20"/>
          <w:szCs w:val="20"/>
        </w:rPr>
      </w:pPr>
    </w:p>
    <w:p w:rsidR="00EB234A" w:rsidRPr="0087026E" w:rsidRDefault="00EB234A" w:rsidP="00A3095C">
      <w:pPr>
        <w:pStyle w:val="NormalWeb"/>
        <w:spacing w:before="0" w:beforeAutospacing="0" w:after="0" w:afterAutospacing="0" w:line="240" w:lineRule="atLeast"/>
        <w:jc w:val="center"/>
        <w:rPr>
          <w:rFonts w:ascii="Verdana" w:hAnsi="Verdana"/>
          <w:b/>
          <w:color w:val="008080"/>
          <w:sz w:val="20"/>
          <w:szCs w:val="2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2F2E83" w:rsidRDefault="002F2E83" w:rsidP="00A3095C">
      <w:pPr>
        <w:pStyle w:val="NormalWeb"/>
        <w:spacing w:before="0" w:beforeAutospacing="0" w:after="0" w:afterAutospacing="0" w:line="240" w:lineRule="atLeast"/>
        <w:jc w:val="center"/>
        <w:rPr>
          <w:rFonts w:ascii="Verdana" w:hAnsi="Verdana"/>
          <w:b/>
          <w:color w:val="008080"/>
        </w:rPr>
      </w:pPr>
    </w:p>
    <w:p w:rsidR="00A3095C" w:rsidRDefault="00A3095C" w:rsidP="00A3095C">
      <w:pPr>
        <w:pStyle w:val="NormalWeb"/>
        <w:spacing w:before="0" w:beforeAutospacing="0" w:after="0" w:afterAutospacing="0" w:line="240" w:lineRule="atLeast"/>
        <w:jc w:val="center"/>
        <w:rPr>
          <w:rFonts w:ascii="Verdana" w:hAnsi="Verdana"/>
          <w:b/>
          <w:color w:val="008080"/>
        </w:rPr>
      </w:pPr>
      <w:r>
        <w:rPr>
          <w:rFonts w:ascii="Verdana" w:hAnsi="Verdana"/>
          <w:b/>
          <w:color w:val="008080"/>
        </w:rPr>
        <w:t>CASE LAW</w:t>
      </w:r>
    </w:p>
    <w:p w:rsidR="00ED4737" w:rsidRDefault="00ED4737" w:rsidP="00306829">
      <w:pPr>
        <w:pStyle w:val="NormalWeb"/>
        <w:spacing w:before="0" w:beforeAutospacing="0" w:after="0" w:afterAutospacing="0" w:line="240" w:lineRule="atLeast"/>
        <w:jc w:val="both"/>
        <w:rPr>
          <w:rFonts w:ascii="Verdana" w:hAnsi="Verdana"/>
          <w:sz w:val="18"/>
          <w:szCs w:val="18"/>
        </w:rPr>
      </w:pPr>
    </w:p>
    <w:p w:rsidR="000022A8" w:rsidRPr="00BF7DD7" w:rsidRDefault="00BF7DD7" w:rsidP="000022A8">
      <w:pPr>
        <w:pStyle w:val="NormalWeb"/>
        <w:spacing w:before="0" w:beforeAutospacing="0" w:after="0" w:afterAutospacing="0" w:line="240" w:lineRule="atLeast"/>
        <w:jc w:val="center"/>
        <w:rPr>
          <w:rFonts w:ascii="Verdana" w:hAnsi="Verdana"/>
          <w:b/>
          <w:i/>
          <w:color w:val="008080"/>
        </w:rPr>
      </w:pPr>
      <w:r w:rsidRPr="00BF7DD7">
        <w:rPr>
          <w:rFonts w:ascii="Verdana" w:hAnsi="Verdana"/>
          <w:b/>
          <w:i/>
          <w:color w:val="008080"/>
        </w:rPr>
        <w:t>HIGH COURT</w:t>
      </w:r>
    </w:p>
    <w:p w:rsidR="00A35217" w:rsidRDefault="00A35217" w:rsidP="00052B91">
      <w:pPr>
        <w:jc w:val="both"/>
        <w:rPr>
          <w:rFonts w:ascii="Verdana" w:hAnsi="Verdana" w:cs="Arial"/>
          <w:bCs/>
          <w:kern w:val="36"/>
          <w:sz w:val="18"/>
          <w:szCs w:val="18"/>
          <w:lang w:val="en-ZA" w:eastAsia="en-ZA"/>
        </w:rPr>
      </w:pPr>
      <w:bookmarkStart w:id="0" w:name="0-0-0-22399"/>
      <w:bookmarkEnd w:id="0"/>
    </w:p>
    <w:p w:rsidR="00A35217" w:rsidRPr="00546921" w:rsidRDefault="00A35217" w:rsidP="00052B91">
      <w:pPr>
        <w:jc w:val="both"/>
        <w:rPr>
          <w:rFonts w:ascii="Verdana" w:hAnsi="Verdana" w:cs="Arial"/>
          <w:bCs/>
          <w:kern w:val="36"/>
          <w:sz w:val="18"/>
          <w:szCs w:val="18"/>
          <w:lang w:val="en-ZA" w:eastAsia="en-ZA"/>
        </w:rPr>
      </w:pPr>
      <w:proofErr w:type="spellStart"/>
      <w:r w:rsidRPr="00546921">
        <w:rPr>
          <w:rFonts w:ascii="Verdana" w:hAnsi="Verdana" w:cs="Arial"/>
          <w:b/>
          <w:bCs/>
          <w:i/>
          <w:kern w:val="36"/>
          <w:sz w:val="18"/>
          <w:szCs w:val="18"/>
          <w:lang w:val="en-ZA" w:eastAsia="en-ZA"/>
        </w:rPr>
        <w:t>Chittenden</w:t>
      </w:r>
      <w:proofErr w:type="spellEnd"/>
      <w:r w:rsidRPr="00546921">
        <w:rPr>
          <w:rFonts w:ascii="Verdana" w:hAnsi="Verdana" w:cs="Arial"/>
          <w:b/>
          <w:bCs/>
          <w:i/>
          <w:kern w:val="36"/>
          <w:sz w:val="18"/>
          <w:szCs w:val="18"/>
          <w:lang w:val="en-ZA" w:eastAsia="en-ZA"/>
        </w:rPr>
        <w:t xml:space="preserve"> NO v Commissioner for South African Revenue Service </w:t>
      </w:r>
      <w:r w:rsidR="0025304C" w:rsidRPr="00546921">
        <w:rPr>
          <w:rFonts w:ascii="Verdana" w:hAnsi="Verdana" w:cs="Arial"/>
          <w:bCs/>
          <w:kern w:val="36"/>
          <w:sz w:val="18"/>
          <w:szCs w:val="18"/>
          <w:lang w:val="en-ZA" w:eastAsia="en-ZA"/>
        </w:rPr>
        <w:t xml:space="preserve">(Case No 12795/14; North Gauteng High Court, Pretoria; 3 March 2014; </w:t>
      </w:r>
      <w:r w:rsidRPr="00546921">
        <w:rPr>
          <w:rFonts w:ascii="Verdana" w:hAnsi="Verdana" w:cs="Arial"/>
          <w:bCs/>
          <w:kern w:val="36"/>
          <w:sz w:val="18"/>
          <w:szCs w:val="18"/>
          <w:lang w:val="en-ZA" w:eastAsia="en-ZA"/>
        </w:rPr>
        <w:t>(2014) SATC 397</w:t>
      </w:r>
      <w:r w:rsidR="00C02603" w:rsidRPr="00546921">
        <w:rPr>
          <w:rFonts w:ascii="Verdana" w:hAnsi="Verdana" w:cs="Arial"/>
          <w:bCs/>
          <w:kern w:val="36"/>
          <w:sz w:val="18"/>
          <w:szCs w:val="18"/>
          <w:lang w:val="en-ZA" w:eastAsia="en-ZA"/>
        </w:rPr>
        <w:t>)</w:t>
      </w:r>
    </w:p>
    <w:p w:rsidR="00A35217" w:rsidRPr="00546921" w:rsidRDefault="00A35217" w:rsidP="00052B91">
      <w:pPr>
        <w:jc w:val="both"/>
        <w:rPr>
          <w:rFonts w:ascii="Verdana" w:hAnsi="Verdana" w:cs="Arial"/>
          <w:bCs/>
          <w:kern w:val="36"/>
          <w:sz w:val="18"/>
          <w:szCs w:val="18"/>
          <w:lang w:val="en-ZA" w:eastAsia="en-ZA"/>
        </w:rPr>
      </w:pPr>
    </w:p>
    <w:p w:rsidR="00154968" w:rsidRPr="00546921" w:rsidRDefault="00154968" w:rsidP="00052B91">
      <w:pPr>
        <w:jc w:val="both"/>
        <w:rPr>
          <w:rFonts w:ascii="Verdana" w:hAnsi="Verdana" w:cs="Arial"/>
          <w:b/>
          <w:bCs/>
          <w:kern w:val="36"/>
          <w:sz w:val="18"/>
          <w:szCs w:val="18"/>
          <w:lang w:val="en-ZA" w:eastAsia="en-ZA"/>
        </w:rPr>
      </w:pPr>
      <w:r w:rsidRPr="00546921">
        <w:rPr>
          <w:rFonts w:ascii="Verdana" w:hAnsi="Verdana" w:cs="Arial"/>
          <w:b/>
          <w:bCs/>
          <w:kern w:val="36"/>
          <w:sz w:val="18"/>
          <w:szCs w:val="18"/>
          <w:lang w:val="en-ZA" w:eastAsia="en-ZA"/>
        </w:rPr>
        <w:t>Background</w:t>
      </w:r>
      <w:r w:rsidR="00A76804" w:rsidRPr="00546921">
        <w:rPr>
          <w:rFonts w:ascii="Verdana" w:hAnsi="Verdana" w:cs="Arial"/>
          <w:b/>
          <w:bCs/>
          <w:kern w:val="36"/>
          <w:sz w:val="18"/>
          <w:szCs w:val="18"/>
          <w:lang w:val="en-ZA" w:eastAsia="en-ZA"/>
        </w:rPr>
        <w:t xml:space="preserve"> </w:t>
      </w:r>
    </w:p>
    <w:p w:rsidR="00A76804" w:rsidRDefault="00A76804" w:rsidP="00052B91">
      <w:pPr>
        <w:jc w:val="both"/>
        <w:rPr>
          <w:rFonts w:ascii="Verdana" w:hAnsi="Verdana" w:cs="Arial"/>
          <w:b/>
          <w:bCs/>
          <w:kern w:val="36"/>
          <w:sz w:val="18"/>
          <w:szCs w:val="18"/>
          <w:lang w:val="en-ZA" w:eastAsia="en-ZA"/>
        </w:rPr>
      </w:pPr>
      <w:r w:rsidRPr="00546921">
        <w:rPr>
          <w:rFonts w:ascii="Verdana" w:hAnsi="Verdana" w:cs="Arial"/>
          <w:bCs/>
          <w:kern w:val="36"/>
          <w:sz w:val="18"/>
          <w:szCs w:val="18"/>
          <w:lang w:val="en-ZA" w:eastAsia="en-ZA"/>
        </w:rPr>
        <w:t>The appellant company had a large outstanding tax liability and had been the subject of business</w:t>
      </w:r>
      <w:r>
        <w:rPr>
          <w:rFonts w:ascii="Verdana" w:hAnsi="Verdana" w:cs="Arial"/>
          <w:bCs/>
          <w:kern w:val="36"/>
          <w:sz w:val="18"/>
          <w:szCs w:val="18"/>
          <w:lang w:val="en-ZA" w:eastAsia="en-ZA"/>
        </w:rPr>
        <w:t xml:space="preserve"> rescue proceedings. Its tax clearance certificate was about to expire.</w:t>
      </w:r>
    </w:p>
    <w:p w:rsidR="00154968" w:rsidRDefault="00154968" w:rsidP="00A76804">
      <w:pPr>
        <w:jc w:val="both"/>
        <w:rPr>
          <w:rFonts w:ascii="Verdana" w:hAnsi="Verdana" w:cs="Arial"/>
          <w:b/>
          <w:bCs/>
          <w:kern w:val="36"/>
          <w:sz w:val="18"/>
          <w:szCs w:val="18"/>
          <w:lang w:val="en-ZA" w:eastAsia="en-ZA"/>
        </w:rPr>
      </w:pPr>
    </w:p>
    <w:p w:rsidR="00154968" w:rsidRDefault="00154968" w:rsidP="00A76804">
      <w:pPr>
        <w:jc w:val="both"/>
        <w:rPr>
          <w:rFonts w:ascii="Verdana" w:hAnsi="Verdana" w:cs="Arial"/>
          <w:bCs/>
          <w:kern w:val="36"/>
          <w:sz w:val="18"/>
          <w:szCs w:val="18"/>
          <w:lang w:val="en-ZA" w:eastAsia="en-ZA"/>
        </w:rPr>
      </w:pPr>
      <w:r>
        <w:rPr>
          <w:rFonts w:ascii="Verdana" w:hAnsi="Verdana" w:cs="Arial"/>
          <w:b/>
          <w:bCs/>
          <w:kern w:val="36"/>
          <w:sz w:val="18"/>
          <w:szCs w:val="18"/>
          <w:lang w:val="en-ZA" w:eastAsia="en-ZA"/>
        </w:rPr>
        <w:t>Facts</w:t>
      </w:r>
      <w:r w:rsidR="00A76804" w:rsidRPr="00A76804">
        <w:rPr>
          <w:rFonts w:ascii="Verdana" w:hAnsi="Verdana" w:cs="Arial"/>
          <w:bCs/>
          <w:kern w:val="36"/>
          <w:sz w:val="18"/>
          <w:szCs w:val="18"/>
          <w:lang w:val="en-ZA" w:eastAsia="en-ZA"/>
        </w:rPr>
        <w:t xml:space="preserve"> </w:t>
      </w:r>
    </w:p>
    <w:p w:rsidR="00A76804" w:rsidRPr="004B2D8A" w:rsidRDefault="00A76804" w:rsidP="00A76804">
      <w:pPr>
        <w:jc w:val="both"/>
        <w:rPr>
          <w:rFonts w:ascii="Verdana" w:hAnsi="Verdana" w:cs="Arial"/>
          <w:b/>
          <w:bCs/>
          <w:kern w:val="36"/>
          <w:sz w:val="18"/>
          <w:szCs w:val="18"/>
          <w:lang w:val="en-ZA" w:eastAsia="en-ZA"/>
        </w:rPr>
      </w:pPr>
      <w:r>
        <w:rPr>
          <w:rFonts w:ascii="Verdana" w:hAnsi="Verdana" w:cs="Arial"/>
          <w:bCs/>
          <w:kern w:val="36"/>
          <w:sz w:val="18"/>
          <w:szCs w:val="18"/>
          <w:lang w:val="en-ZA" w:eastAsia="en-ZA"/>
        </w:rPr>
        <w:t>The company</w:t>
      </w:r>
      <w:r w:rsidRPr="004B2D8A">
        <w:rPr>
          <w:rFonts w:ascii="Verdana" w:hAnsi="Verdana" w:cs="Arial"/>
          <w:bCs/>
          <w:kern w:val="36"/>
          <w:sz w:val="18"/>
          <w:szCs w:val="18"/>
          <w:lang w:val="en-ZA" w:eastAsia="en-ZA"/>
        </w:rPr>
        <w:t xml:space="preserve"> had applied to SARS for a</w:t>
      </w:r>
      <w:r>
        <w:rPr>
          <w:rFonts w:ascii="Verdana" w:hAnsi="Verdana" w:cs="Arial"/>
          <w:bCs/>
          <w:kern w:val="36"/>
          <w:sz w:val="18"/>
          <w:szCs w:val="18"/>
          <w:lang w:val="en-ZA" w:eastAsia="en-ZA"/>
        </w:rPr>
        <w:t xml:space="preserve"> new</w:t>
      </w:r>
      <w:r w:rsidRPr="004B2D8A">
        <w:rPr>
          <w:rFonts w:ascii="Verdana" w:hAnsi="Verdana" w:cs="Arial"/>
          <w:bCs/>
          <w:kern w:val="36"/>
          <w:sz w:val="18"/>
          <w:szCs w:val="18"/>
          <w:lang w:val="en-ZA" w:eastAsia="en-ZA"/>
        </w:rPr>
        <w:t xml:space="preserve"> tax clearance certificate</w:t>
      </w:r>
      <w:r>
        <w:rPr>
          <w:rFonts w:ascii="Verdana" w:hAnsi="Verdana" w:cs="Arial"/>
          <w:bCs/>
          <w:kern w:val="36"/>
          <w:sz w:val="18"/>
          <w:szCs w:val="18"/>
          <w:lang w:val="en-ZA" w:eastAsia="en-ZA"/>
        </w:rPr>
        <w:t xml:space="preserve"> which SARS </w:t>
      </w:r>
      <w:r w:rsidR="00FD67F4">
        <w:rPr>
          <w:rFonts w:ascii="Verdana" w:hAnsi="Verdana" w:cs="Arial"/>
          <w:bCs/>
          <w:kern w:val="36"/>
          <w:sz w:val="18"/>
          <w:szCs w:val="18"/>
          <w:lang w:val="en-ZA" w:eastAsia="en-ZA"/>
        </w:rPr>
        <w:t>then</w:t>
      </w:r>
      <w:r w:rsidR="00C02603">
        <w:rPr>
          <w:rFonts w:ascii="Verdana" w:hAnsi="Verdana" w:cs="Arial"/>
          <w:bCs/>
          <w:kern w:val="36"/>
          <w:sz w:val="18"/>
          <w:szCs w:val="18"/>
          <w:lang w:val="en-ZA" w:eastAsia="en-ZA"/>
        </w:rPr>
        <w:t xml:space="preserve"> </w:t>
      </w:r>
      <w:r>
        <w:rPr>
          <w:rFonts w:ascii="Verdana" w:hAnsi="Verdana" w:cs="Arial"/>
          <w:bCs/>
          <w:kern w:val="36"/>
          <w:sz w:val="18"/>
          <w:szCs w:val="18"/>
          <w:lang w:val="en-ZA" w:eastAsia="en-ZA"/>
        </w:rPr>
        <w:t>refused to issue. The company applied to court for an order compelling SARS to issue a renewed tax clearance certificate.</w:t>
      </w:r>
    </w:p>
    <w:p w:rsidR="00154968" w:rsidRDefault="00154968" w:rsidP="00052B91">
      <w:pPr>
        <w:jc w:val="both"/>
        <w:rPr>
          <w:rFonts w:ascii="Verdana" w:hAnsi="Verdana" w:cs="Arial"/>
          <w:b/>
          <w:bCs/>
          <w:kern w:val="36"/>
          <w:sz w:val="18"/>
          <w:szCs w:val="18"/>
          <w:lang w:val="en-ZA" w:eastAsia="en-ZA"/>
        </w:rPr>
      </w:pPr>
    </w:p>
    <w:p w:rsidR="00154968" w:rsidRDefault="00154968" w:rsidP="00052B91">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Issue</w:t>
      </w:r>
      <w:r w:rsidR="00A76804">
        <w:rPr>
          <w:rFonts w:ascii="Verdana" w:hAnsi="Verdana" w:cs="Arial"/>
          <w:b/>
          <w:bCs/>
          <w:kern w:val="36"/>
          <w:sz w:val="18"/>
          <w:szCs w:val="18"/>
          <w:lang w:val="en-ZA" w:eastAsia="en-ZA"/>
        </w:rPr>
        <w:t xml:space="preserve"> </w:t>
      </w:r>
    </w:p>
    <w:p w:rsidR="00A35217" w:rsidRPr="00655261" w:rsidRDefault="00A76804" w:rsidP="00052B91">
      <w:pPr>
        <w:jc w:val="both"/>
        <w:rPr>
          <w:rFonts w:ascii="Verdana" w:hAnsi="Verdana" w:cs="Arial"/>
          <w:bCs/>
          <w:kern w:val="36"/>
          <w:sz w:val="18"/>
          <w:szCs w:val="18"/>
          <w:lang w:val="en-ZA" w:eastAsia="en-ZA"/>
        </w:rPr>
      </w:pPr>
      <w:proofErr w:type="gramStart"/>
      <w:r>
        <w:rPr>
          <w:rFonts w:ascii="Verdana" w:hAnsi="Verdana" w:cs="Arial"/>
          <w:bCs/>
          <w:kern w:val="36"/>
          <w:sz w:val="18"/>
          <w:szCs w:val="18"/>
          <w:lang w:val="en-ZA" w:eastAsia="en-ZA"/>
        </w:rPr>
        <w:t>Whether the appellant company was entitled, in terms of the Tax Administration Act 28 of 2011 to an order compelling SARS to issue a tax clearance certificate.</w:t>
      </w:r>
      <w:proofErr w:type="gramEnd"/>
    </w:p>
    <w:p w:rsidR="00154968" w:rsidRDefault="00154968" w:rsidP="00052B91">
      <w:pPr>
        <w:jc w:val="both"/>
        <w:rPr>
          <w:rFonts w:ascii="Verdana" w:hAnsi="Verdana" w:cs="Arial"/>
          <w:b/>
          <w:bCs/>
          <w:kern w:val="36"/>
          <w:sz w:val="18"/>
          <w:szCs w:val="18"/>
          <w:lang w:val="en-ZA" w:eastAsia="en-ZA"/>
        </w:rPr>
      </w:pPr>
    </w:p>
    <w:p w:rsidR="00154968" w:rsidRDefault="00154968" w:rsidP="00052B91">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Decision</w:t>
      </w:r>
      <w:r w:rsidR="00A76804">
        <w:rPr>
          <w:rFonts w:ascii="Verdana" w:hAnsi="Verdana" w:cs="Arial"/>
          <w:b/>
          <w:bCs/>
          <w:kern w:val="36"/>
          <w:sz w:val="18"/>
          <w:szCs w:val="18"/>
          <w:lang w:val="en-ZA" w:eastAsia="en-ZA"/>
        </w:rPr>
        <w:t xml:space="preserve"> </w:t>
      </w:r>
    </w:p>
    <w:p w:rsidR="00A35217" w:rsidRPr="00655261" w:rsidRDefault="00154968" w:rsidP="00052B91">
      <w:pPr>
        <w:jc w:val="both"/>
        <w:rPr>
          <w:rFonts w:ascii="Verdana" w:hAnsi="Verdana" w:cs="Arial"/>
          <w:bCs/>
          <w:kern w:val="36"/>
          <w:sz w:val="18"/>
          <w:szCs w:val="18"/>
          <w:lang w:val="en-ZA" w:eastAsia="en-ZA"/>
        </w:rPr>
      </w:pPr>
      <w:r>
        <w:rPr>
          <w:rFonts w:ascii="Verdana" w:hAnsi="Verdana" w:cs="Arial"/>
          <w:bCs/>
          <w:kern w:val="36"/>
          <w:sz w:val="18"/>
          <w:szCs w:val="18"/>
          <w:lang w:val="en-ZA" w:eastAsia="en-ZA"/>
        </w:rPr>
        <w:t>In terms of s</w:t>
      </w:r>
      <w:r w:rsidR="00A76804">
        <w:rPr>
          <w:rFonts w:ascii="Verdana" w:hAnsi="Verdana" w:cs="Arial"/>
          <w:bCs/>
          <w:kern w:val="36"/>
          <w:sz w:val="18"/>
          <w:szCs w:val="18"/>
          <w:lang w:val="en-ZA" w:eastAsia="en-ZA"/>
        </w:rPr>
        <w:t xml:space="preserve"> 256(3) of the Tax Administration Act, the Commissioner may issue a tax clearance certificate only if satisfied that the requirements of this provision are </w:t>
      </w:r>
      <w:r w:rsidR="00A76804" w:rsidRPr="00546921">
        <w:rPr>
          <w:rFonts w:ascii="Verdana" w:hAnsi="Verdana" w:cs="Arial"/>
          <w:bCs/>
          <w:kern w:val="36"/>
          <w:sz w:val="18"/>
          <w:szCs w:val="18"/>
          <w:lang w:val="en-ZA" w:eastAsia="en-ZA"/>
        </w:rPr>
        <w:t xml:space="preserve">satisfied, and </w:t>
      </w:r>
      <w:r w:rsidRPr="00546921">
        <w:rPr>
          <w:rFonts w:ascii="Verdana" w:hAnsi="Verdana" w:cs="Arial"/>
          <w:bCs/>
          <w:kern w:val="36"/>
          <w:sz w:val="18"/>
          <w:szCs w:val="18"/>
          <w:lang w:val="en-ZA" w:eastAsia="en-ZA"/>
        </w:rPr>
        <w:t>s</w:t>
      </w:r>
      <w:r w:rsidR="00FD67F4" w:rsidRPr="00546921">
        <w:rPr>
          <w:rFonts w:ascii="Verdana" w:hAnsi="Verdana" w:cs="Arial"/>
          <w:bCs/>
          <w:kern w:val="36"/>
          <w:sz w:val="18"/>
          <w:szCs w:val="18"/>
          <w:lang w:val="en-ZA" w:eastAsia="en-ZA"/>
        </w:rPr>
        <w:t xml:space="preserve"> 256(3</w:t>
      </w:r>
      <w:proofErr w:type="gramStart"/>
      <w:r w:rsidR="00FD67F4" w:rsidRPr="00546921">
        <w:rPr>
          <w:rFonts w:ascii="Verdana" w:hAnsi="Verdana" w:cs="Arial"/>
          <w:bCs/>
          <w:kern w:val="36"/>
          <w:sz w:val="18"/>
          <w:szCs w:val="18"/>
          <w:lang w:val="en-ZA" w:eastAsia="en-ZA"/>
        </w:rPr>
        <w:t>)</w:t>
      </w:r>
      <w:r w:rsidR="00FD67F4" w:rsidRPr="00546921">
        <w:rPr>
          <w:rFonts w:ascii="Verdana" w:hAnsi="Verdana" w:cs="Arial"/>
          <w:bCs/>
          <w:i/>
          <w:kern w:val="36"/>
          <w:sz w:val="18"/>
          <w:szCs w:val="18"/>
          <w:lang w:val="en-ZA" w:eastAsia="en-ZA"/>
        </w:rPr>
        <w:t>(</w:t>
      </w:r>
      <w:proofErr w:type="gramEnd"/>
      <w:r w:rsidR="00FD67F4" w:rsidRPr="00546921">
        <w:rPr>
          <w:rFonts w:ascii="Verdana" w:hAnsi="Verdana" w:cs="Arial"/>
          <w:bCs/>
          <w:i/>
          <w:kern w:val="36"/>
          <w:sz w:val="18"/>
          <w:szCs w:val="18"/>
          <w:lang w:val="en-ZA" w:eastAsia="en-ZA"/>
        </w:rPr>
        <w:t>a)</w:t>
      </w:r>
      <w:r w:rsidR="00FD67F4" w:rsidRPr="00546921">
        <w:rPr>
          <w:rFonts w:ascii="Verdana" w:hAnsi="Verdana" w:cs="Arial"/>
          <w:bCs/>
          <w:kern w:val="36"/>
          <w:sz w:val="18"/>
          <w:szCs w:val="18"/>
          <w:lang w:val="en-ZA" w:eastAsia="en-ZA"/>
        </w:rPr>
        <w:t xml:space="preserve"> precludes</w:t>
      </w:r>
      <w:r w:rsidR="00A76804" w:rsidRPr="00546921">
        <w:rPr>
          <w:rFonts w:ascii="Verdana" w:hAnsi="Verdana" w:cs="Arial"/>
          <w:bCs/>
          <w:kern w:val="36"/>
          <w:sz w:val="18"/>
          <w:szCs w:val="18"/>
          <w:lang w:val="en-ZA" w:eastAsia="en-ZA"/>
        </w:rPr>
        <w:t xml:space="preserve"> the issuing of a tax clearance certificate where the taxpayer in question</w:t>
      </w:r>
      <w:r w:rsidR="00A76804">
        <w:rPr>
          <w:rFonts w:ascii="Verdana" w:hAnsi="Verdana" w:cs="Arial"/>
          <w:bCs/>
          <w:kern w:val="36"/>
          <w:sz w:val="18"/>
          <w:szCs w:val="18"/>
          <w:lang w:val="en-ZA" w:eastAsia="en-ZA"/>
        </w:rPr>
        <w:t xml:space="preserve"> has an outstanding tax debt. It was held that the company was not entitled to the order sought. It was held that a decision on the issuing of a tax clearance certificate constitute</w:t>
      </w:r>
      <w:r w:rsidR="00FD67F4">
        <w:rPr>
          <w:rFonts w:ascii="Verdana" w:hAnsi="Verdana" w:cs="Arial"/>
          <w:bCs/>
          <w:kern w:val="36"/>
          <w:sz w:val="18"/>
          <w:szCs w:val="18"/>
          <w:lang w:val="en-ZA" w:eastAsia="en-ZA"/>
        </w:rPr>
        <w:t>s</w:t>
      </w:r>
      <w:r w:rsidR="00A76804">
        <w:rPr>
          <w:rFonts w:ascii="Verdana" w:hAnsi="Verdana" w:cs="Arial"/>
          <w:bCs/>
          <w:kern w:val="36"/>
          <w:sz w:val="18"/>
          <w:szCs w:val="18"/>
          <w:lang w:val="en-ZA" w:eastAsia="en-ZA"/>
        </w:rPr>
        <w:t xml:space="preserve"> administrative action in terms of the Promotion of Administrative Justice Act 3 of 2000 and that if the appellant company was dissatisfied with the decision and wished to challenge it, then review proceedings should</w:t>
      </w:r>
      <w:r>
        <w:rPr>
          <w:rFonts w:ascii="Verdana" w:hAnsi="Verdana" w:cs="Arial"/>
          <w:bCs/>
          <w:kern w:val="36"/>
          <w:sz w:val="18"/>
          <w:szCs w:val="18"/>
          <w:lang w:val="en-ZA" w:eastAsia="en-ZA"/>
        </w:rPr>
        <w:t xml:space="preserve"> be launched in terms of s</w:t>
      </w:r>
      <w:r w:rsidR="00A76804">
        <w:rPr>
          <w:rFonts w:ascii="Verdana" w:hAnsi="Verdana" w:cs="Arial"/>
          <w:bCs/>
          <w:kern w:val="36"/>
          <w:sz w:val="18"/>
          <w:szCs w:val="18"/>
          <w:lang w:val="en-ZA" w:eastAsia="en-ZA"/>
        </w:rPr>
        <w:t xml:space="preserve"> 8 of that Act, and that in the interim SARS</w:t>
      </w:r>
      <w:r w:rsidR="00FD67F4">
        <w:rPr>
          <w:rFonts w:ascii="Verdana" w:hAnsi="Verdana" w:cs="Arial"/>
          <w:bCs/>
          <w:kern w:val="36"/>
          <w:sz w:val="18"/>
          <w:szCs w:val="18"/>
          <w:lang w:val="en-ZA" w:eastAsia="en-ZA"/>
        </w:rPr>
        <w:t>’s decision remains</w:t>
      </w:r>
      <w:r w:rsidR="00A76804">
        <w:rPr>
          <w:rFonts w:ascii="Verdana" w:hAnsi="Verdana" w:cs="Arial"/>
          <w:bCs/>
          <w:kern w:val="36"/>
          <w:sz w:val="18"/>
          <w:szCs w:val="18"/>
          <w:lang w:val="en-ZA" w:eastAsia="en-ZA"/>
        </w:rPr>
        <w:t xml:space="preserve"> in full force.</w:t>
      </w:r>
    </w:p>
    <w:p w:rsidR="00A35217" w:rsidRDefault="00A35217" w:rsidP="00052B91">
      <w:pPr>
        <w:jc w:val="both"/>
        <w:rPr>
          <w:rFonts w:ascii="Verdana" w:hAnsi="Verdana" w:cs="Arial"/>
          <w:bCs/>
          <w:kern w:val="36"/>
          <w:sz w:val="18"/>
          <w:szCs w:val="18"/>
          <w:lang w:val="en-ZA" w:eastAsia="en-ZA"/>
        </w:rPr>
      </w:pPr>
    </w:p>
    <w:p w:rsidR="00A35217" w:rsidRDefault="00A35217" w:rsidP="00052B91">
      <w:pPr>
        <w:jc w:val="both"/>
        <w:rPr>
          <w:rFonts w:ascii="Verdana" w:hAnsi="Verdana" w:cs="Arial"/>
          <w:bCs/>
          <w:kern w:val="36"/>
          <w:sz w:val="18"/>
          <w:szCs w:val="18"/>
          <w:lang w:val="en-ZA" w:eastAsia="en-ZA"/>
        </w:rPr>
      </w:pPr>
    </w:p>
    <w:p w:rsidR="00A35217" w:rsidRDefault="00C02603" w:rsidP="00052B91">
      <w:pPr>
        <w:jc w:val="both"/>
        <w:rPr>
          <w:rFonts w:ascii="Verdana" w:hAnsi="Verdana" w:cs="Arial"/>
          <w:bCs/>
          <w:kern w:val="36"/>
          <w:sz w:val="18"/>
          <w:szCs w:val="18"/>
          <w:lang w:val="en-ZA" w:eastAsia="en-ZA"/>
        </w:rPr>
      </w:pPr>
      <w:r w:rsidRPr="00546921">
        <w:rPr>
          <w:rFonts w:ascii="Verdana" w:hAnsi="Verdana" w:cs="Arial"/>
          <w:b/>
          <w:bCs/>
          <w:i/>
          <w:kern w:val="36"/>
          <w:sz w:val="18"/>
          <w:szCs w:val="18"/>
          <w:lang w:val="en-ZA" w:eastAsia="en-ZA"/>
        </w:rPr>
        <w:t xml:space="preserve">Capstone </w:t>
      </w:r>
      <w:proofErr w:type="gramStart"/>
      <w:r w:rsidRPr="00546921">
        <w:rPr>
          <w:rFonts w:ascii="Verdana" w:hAnsi="Verdana" w:cs="Arial"/>
          <w:b/>
          <w:bCs/>
          <w:i/>
          <w:kern w:val="36"/>
          <w:sz w:val="18"/>
          <w:szCs w:val="18"/>
          <w:lang w:val="en-ZA" w:eastAsia="en-ZA"/>
        </w:rPr>
        <w:t xml:space="preserve">556 (Pty) Ltd v Commissioner for South African Revenue Service </w:t>
      </w:r>
      <w:r w:rsidRPr="00546921">
        <w:rPr>
          <w:rFonts w:ascii="Verdana" w:hAnsi="Verdana" w:cs="Arial"/>
          <w:bCs/>
          <w:kern w:val="36"/>
          <w:sz w:val="18"/>
          <w:szCs w:val="18"/>
          <w:lang w:val="en-ZA" w:eastAsia="en-ZA"/>
        </w:rPr>
        <w:t>2014 (6) SA 195 (WCC), 77 SATC 1</w:t>
      </w:r>
      <w:proofErr w:type="gramEnd"/>
    </w:p>
    <w:p w:rsidR="005067E3" w:rsidRPr="00DB0FB6" w:rsidRDefault="005067E3" w:rsidP="00052B91">
      <w:pPr>
        <w:jc w:val="both"/>
        <w:rPr>
          <w:rFonts w:ascii="Verdana" w:hAnsi="Verdana" w:cs="Arial"/>
          <w:bCs/>
          <w:kern w:val="36"/>
          <w:sz w:val="18"/>
          <w:szCs w:val="18"/>
          <w:lang w:val="en-ZA" w:eastAsia="en-ZA"/>
        </w:rPr>
      </w:pPr>
    </w:p>
    <w:p w:rsidR="005067E3" w:rsidRDefault="005067E3" w:rsidP="00A35217">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Background</w:t>
      </w:r>
    </w:p>
    <w:p w:rsidR="00A35217" w:rsidRPr="00655261" w:rsidRDefault="00C02603" w:rsidP="00A35217">
      <w:pPr>
        <w:jc w:val="both"/>
        <w:rPr>
          <w:rFonts w:ascii="Verdana" w:hAnsi="Verdana" w:cs="Arial"/>
          <w:bCs/>
          <w:kern w:val="36"/>
          <w:sz w:val="18"/>
          <w:szCs w:val="18"/>
          <w:lang w:val="en-ZA" w:eastAsia="en-ZA"/>
        </w:rPr>
      </w:pPr>
      <w:r>
        <w:rPr>
          <w:rFonts w:ascii="Verdana" w:hAnsi="Verdana" w:cs="Arial"/>
          <w:bCs/>
          <w:kern w:val="36"/>
          <w:sz w:val="18"/>
          <w:szCs w:val="18"/>
          <w:lang w:val="en-ZA" w:eastAsia="en-ZA"/>
        </w:rPr>
        <w:t>The appellant company and its sole shareholder were special purpose vehicles and the sole purpose of the appellant was to hold shares (‘the JDG shares’) in the JD group of companies.</w:t>
      </w:r>
    </w:p>
    <w:p w:rsidR="005067E3" w:rsidRDefault="005067E3" w:rsidP="00A35217">
      <w:pPr>
        <w:jc w:val="both"/>
        <w:rPr>
          <w:rFonts w:ascii="Verdana" w:hAnsi="Verdana" w:cs="Arial"/>
          <w:b/>
          <w:bCs/>
          <w:kern w:val="36"/>
          <w:sz w:val="18"/>
          <w:szCs w:val="18"/>
          <w:lang w:val="en-ZA" w:eastAsia="en-ZA"/>
        </w:rPr>
      </w:pPr>
    </w:p>
    <w:p w:rsidR="005067E3" w:rsidRDefault="005067E3" w:rsidP="00A35217">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Facts</w:t>
      </w:r>
    </w:p>
    <w:p w:rsidR="00A35217" w:rsidRPr="00A00D28" w:rsidRDefault="00C02603" w:rsidP="00A35217">
      <w:pPr>
        <w:jc w:val="both"/>
        <w:rPr>
          <w:rFonts w:ascii="Verdana" w:hAnsi="Verdana" w:cs="Arial"/>
          <w:b/>
          <w:bCs/>
          <w:kern w:val="36"/>
          <w:sz w:val="18"/>
          <w:szCs w:val="18"/>
          <w:lang w:val="en-ZA" w:eastAsia="en-ZA"/>
        </w:rPr>
      </w:pPr>
      <w:r>
        <w:rPr>
          <w:rFonts w:ascii="Verdana" w:hAnsi="Verdana" w:cs="Arial"/>
          <w:bCs/>
          <w:kern w:val="36"/>
          <w:sz w:val="18"/>
          <w:szCs w:val="18"/>
          <w:lang w:val="en-ZA" w:eastAsia="en-ZA"/>
        </w:rPr>
        <w:t xml:space="preserve">The appellant company </w:t>
      </w:r>
      <w:r w:rsidR="00C275C8">
        <w:rPr>
          <w:rFonts w:ascii="Verdana" w:hAnsi="Verdana" w:cs="Arial"/>
          <w:bCs/>
          <w:kern w:val="36"/>
          <w:sz w:val="18"/>
          <w:szCs w:val="18"/>
          <w:lang w:val="en-ZA" w:eastAsia="en-ZA"/>
        </w:rPr>
        <w:t xml:space="preserve">had </w:t>
      </w:r>
      <w:r>
        <w:rPr>
          <w:rFonts w:ascii="Verdana" w:hAnsi="Verdana" w:cs="Arial"/>
          <w:bCs/>
          <w:kern w:val="36"/>
          <w:sz w:val="18"/>
          <w:szCs w:val="18"/>
          <w:lang w:val="en-ZA" w:eastAsia="en-ZA"/>
        </w:rPr>
        <w:t>transacted no business</w:t>
      </w:r>
      <w:r w:rsidR="00211063">
        <w:rPr>
          <w:rFonts w:ascii="Verdana" w:hAnsi="Verdana" w:cs="Arial"/>
          <w:bCs/>
          <w:kern w:val="36"/>
          <w:sz w:val="18"/>
          <w:szCs w:val="18"/>
          <w:lang w:val="en-ZA" w:eastAsia="en-ZA"/>
        </w:rPr>
        <w:t xml:space="preserve"> and</w:t>
      </w:r>
      <w:r>
        <w:rPr>
          <w:rFonts w:ascii="Verdana" w:hAnsi="Verdana" w:cs="Arial"/>
          <w:bCs/>
          <w:kern w:val="36"/>
          <w:sz w:val="18"/>
          <w:szCs w:val="18"/>
          <w:lang w:val="en-ZA" w:eastAsia="en-ZA"/>
        </w:rPr>
        <w:t xml:space="preserve"> held no directors’ meetings and its only commercial obligations</w:t>
      </w:r>
      <w:r w:rsidR="008459B5">
        <w:rPr>
          <w:rFonts w:ascii="Verdana" w:hAnsi="Verdana" w:cs="Arial"/>
          <w:bCs/>
          <w:kern w:val="36"/>
          <w:sz w:val="18"/>
          <w:szCs w:val="18"/>
          <w:lang w:val="en-ZA" w:eastAsia="en-ZA"/>
        </w:rPr>
        <w:t>,</w:t>
      </w:r>
      <w:r>
        <w:rPr>
          <w:rFonts w:ascii="Verdana" w:hAnsi="Verdana" w:cs="Arial"/>
          <w:bCs/>
          <w:kern w:val="36"/>
          <w:sz w:val="18"/>
          <w:szCs w:val="18"/>
          <w:lang w:val="en-ZA" w:eastAsia="en-ZA"/>
        </w:rPr>
        <w:t xml:space="preserve"> other than those in issue in this case, were those associated with the funding required to pay for the JDG shares. The appellant</w:t>
      </w:r>
      <w:r w:rsidR="008459B5">
        <w:rPr>
          <w:rFonts w:ascii="Verdana" w:hAnsi="Verdana" w:cs="Arial"/>
          <w:bCs/>
          <w:kern w:val="36"/>
          <w:sz w:val="18"/>
          <w:szCs w:val="18"/>
          <w:lang w:val="en-ZA" w:eastAsia="en-ZA"/>
        </w:rPr>
        <w:t xml:space="preserve"> had taken transfer of the JDG shares in December 2003 and </w:t>
      </w:r>
      <w:r w:rsidR="00211063">
        <w:rPr>
          <w:rFonts w:ascii="Verdana" w:hAnsi="Verdana" w:cs="Arial"/>
          <w:bCs/>
          <w:kern w:val="36"/>
          <w:sz w:val="18"/>
          <w:szCs w:val="18"/>
          <w:lang w:val="en-ZA" w:eastAsia="en-ZA"/>
        </w:rPr>
        <w:t xml:space="preserve">had </w:t>
      </w:r>
      <w:r w:rsidR="008459B5">
        <w:rPr>
          <w:rFonts w:ascii="Verdana" w:hAnsi="Verdana" w:cs="Arial"/>
          <w:bCs/>
          <w:kern w:val="36"/>
          <w:sz w:val="18"/>
          <w:szCs w:val="18"/>
          <w:lang w:val="en-ZA" w:eastAsia="en-ZA"/>
        </w:rPr>
        <w:t>sold them in March 2004</w:t>
      </w:r>
      <w:r>
        <w:rPr>
          <w:rFonts w:ascii="Verdana" w:hAnsi="Verdana" w:cs="Arial"/>
          <w:bCs/>
          <w:kern w:val="36"/>
          <w:sz w:val="18"/>
          <w:szCs w:val="18"/>
          <w:lang w:val="en-ZA" w:eastAsia="en-ZA"/>
        </w:rPr>
        <w:t xml:space="preserve"> in the course of a transaction involving associated expenditure and the giving of an indemnity</w:t>
      </w:r>
      <w:r w:rsidR="008459B5">
        <w:rPr>
          <w:rFonts w:ascii="Verdana" w:hAnsi="Verdana" w:cs="Arial"/>
          <w:bCs/>
          <w:kern w:val="36"/>
          <w:sz w:val="18"/>
          <w:szCs w:val="18"/>
          <w:lang w:val="en-ZA" w:eastAsia="en-ZA"/>
        </w:rPr>
        <w:t xml:space="preserve">. SARS had issued an additional assessment arising from the disposal by the appellant of certain JDG shares </w:t>
      </w:r>
      <w:r w:rsidR="00211063">
        <w:rPr>
          <w:rFonts w:ascii="Verdana" w:hAnsi="Verdana" w:cs="Arial"/>
          <w:bCs/>
          <w:kern w:val="36"/>
          <w:sz w:val="18"/>
          <w:szCs w:val="18"/>
          <w:lang w:val="en-ZA" w:eastAsia="en-ZA"/>
        </w:rPr>
        <w:t>in</w:t>
      </w:r>
      <w:r w:rsidR="008459B5">
        <w:rPr>
          <w:rFonts w:ascii="Verdana" w:hAnsi="Verdana" w:cs="Arial"/>
          <w:bCs/>
          <w:kern w:val="36"/>
          <w:sz w:val="18"/>
          <w:szCs w:val="18"/>
          <w:lang w:val="en-ZA" w:eastAsia="en-ZA"/>
        </w:rPr>
        <w:t xml:space="preserve"> the 2005 year of assessment.</w:t>
      </w:r>
    </w:p>
    <w:p w:rsidR="005067E3" w:rsidRDefault="005067E3" w:rsidP="00A35217">
      <w:pPr>
        <w:jc w:val="both"/>
        <w:rPr>
          <w:rFonts w:ascii="Verdana" w:hAnsi="Verdana" w:cs="Arial"/>
          <w:b/>
          <w:bCs/>
          <w:kern w:val="36"/>
          <w:sz w:val="18"/>
          <w:szCs w:val="18"/>
          <w:lang w:val="en-ZA" w:eastAsia="en-ZA"/>
        </w:rPr>
      </w:pPr>
    </w:p>
    <w:p w:rsidR="005067E3" w:rsidRDefault="005067E3" w:rsidP="00A35217">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Issue</w:t>
      </w:r>
      <w:r w:rsidR="008459B5">
        <w:rPr>
          <w:rFonts w:ascii="Verdana" w:hAnsi="Verdana" w:cs="Arial"/>
          <w:b/>
          <w:bCs/>
          <w:kern w:val="36"/>
          <w:sz w:val="18"/>
          <w:szCs w:val="18"/>
          <w:lang w:val="en-ZA" w:eastAsia="en-ZA"/>
        </w:rPr>
        <w:t xml:space="preserve"> </w:t>
      </w:r>
    </w:p>
    <w:p w:rsidR="00A35217" w:rsidRPr="00655261" w:rsidRDefault="008459B5" w:rsidP="00A35217">
      <w:pPr>
        <w:jc w:val="both"/>
        <w:rPr>
          <w:rFonts w:ascii="Verdana" w:hAnsi="Verdana" w:cs="Arial"/>
          <w:bCs/>
          <w:kern w:val="36"/>
          <w:sz w:val="18"/>
          <w:szCs w:val="18"/>
          <w:lang w:val="en-ZA" w:eastAsia="en-ZA"/>
        </w:rPr>
      </w:pPr>
      <w:r w:rsidRPr="00655261">
        <w:rPr>
          <w:rFonts w:ascii="Verdana" w:hAnsi="Verdana" w:cs="Arial"/>
          <w:bCs/>
          <w:kern w:val="36"/>
          <w:sz w:val="18"/>
          <w:szCs w:val="18"/>
          <w:lang w:val="en-ZA" w:eastAsia="en-ZA"/>
        </w:rPr>
        <w:t xml:space="preserve">Whether </w:t>
      </w:r>
      <w:r>
        <w:rPr>
          <w:rFonts w:ascii="Verdana" w:hAnsi="Verdana" w:cs="Arial"/>
          <w:bCs/>
          <w:kern w:val="36"/>
          <w:sz w:val="18"/>
          <w:szCs w:val="18"/>
          <w:lang w:val="en-ZA" w:eastAsia="en-ZA"/>
        </w:rPr>
        <w:t xml:space="preserve">the proceeds of the disposal of the shares in question were of a revenue or a capital nature and whether the two amounts of expenditure </w:t>
      </w:r>
      <w:r w:rsidR="00211063">
        <w:rPr>
          <w:rFonts w:ascii="Verdana" w:hAnsi="Verdana" w:cs="Arial"/>
          <w:bCs/>
          <w:kern w:val="36"/>
          <w:sz w:val="18"/>
          <w:szCs w:val="18"/>
          <w:lang w:val="en-ZA" w:eastAsia="en-ZA"/>
        </w:rPr>
        <w:t>in issue, one being a so-called</w:t>
      </w:r>
      <w:r>
        <w:rPr>
          <w:rFonts w:ascii="Verdana" w:hAnsi="Verdana" w:cs="Arial"/>
          <w:bCs/>
          <w:kern w:val="36"/>
          <w:sz w:val="18"/>
          <w:szCs w:val="18"/>
          <w:lang w:val="en-ZA" w:eastAsia="en-ZA"/>
        </w:rPr>
        <w:t xml:space="preserve"> ‘equity kicker’ and the other arising from an indemnity, were deductible from gross income.</w:t>
      </w:r>
    </w:p>
    <w:p w:rsidR="005067E3" w:rsidRDefault="005067E3" w:rsidP="00A35217">
      <w:pPr>
        <w:jc w:val="both"/>
        <w:rPr>
          <w:rFonts w:ascii="Verdana" w:hAnsi="Verdana" w:cs="Arial"/>
          <w:b/>
          <w:bCs/>
          <w:kern w:val="36"/>
          <w:sz w:val="18"/>
          <w:szCs w:val="18"/>
          <w:lang w:val="en-ZA" w:eastAsia="en-ZA"/>
        </w:rPr>
      </w:pPr>
    </w:p>
    <w:p w:rsidR="005067E3" w:rsidRDefault="005067E3" w:rsidP="00A35217">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Decision</w:t>
      </w:r>
    </w:p>
    <w:p w:rsidR="00A35217" w:rsidRPr="00655261" w:rsidRDefault="00C33C7E" w:rsidP="00A35217">
      <w:pPr>
        <w:jc w:val="both"/>
        <w:rPr>
          <w:rFonts w:ascii="Verdana" w:hAnsi="Verdana" w:cs="Arial"/>
          <w:bCs/>
          <w:kern w:val="36"/>
          <w:sz w:val="18"/>
          <w:szCs w:val="18"/>
          <w:lang w:val="en-ZA" w:eastAsia="en-ZA"/>
        </w:rPr>
      </w:pPr>
      <w:r w:rsidRPr="00655261">
        <w:rPr>
          <w:rFonts w:ascii="Verdana" w:hAnsi="Verdana" w:cs="Arial"/>
          <w:bCs/>
          <w:kern w:val="36"/>
          <w:sz w:val="18"/>
          <w:szCs w:val="18"/>
          <w:lang w:val="en-ZA" w:eastAsia="en-ZA"/>
        </w:rPr>
        <w:t>It was held that</w:t>
      </w:r>
      <w:r>
        <w:rPr>
          <w:rFonts w:ascii="Verdana" w:hAnsi="Verdana" w:cs="Arial"/>
          <w:bCs/>
          <w:kern w:val="36"/>
          <w:sz w:val="18"/>
          <w:szCs w:val="18"/>
          <w:lang w:val="en-ZA" w:eastAsia="en-ZA"/>
        </w:rPr>
        <w:t xml:space="preserve"> the appellant had discharged the onus of proving that the JDG shares were capital in its hands and that the profits on disposal were fortuitous and thus of a capital nature. It was held that the ‘equity kicker’ had been a borrowing cost as envisaged in para 20(2)</w:t>
      </w:r>
      <w:r w:rsidRPr="005067E3">
        <w:rPr>
          <w:rFonts w:ascii="Verdana" w:hAnsi="Verdana" w:cs="Arial"/>
          <w:bCs/>
          <w:i/>
          <w:kern w:val="36"/>
          <w:sz w:val="18"/>
          <w:szCs w:val="18"/>
          <w:lang w:val="en-ZA" w:eastAsia="en-ZA"/>
        </w:rPr>
        <w:t>(a)</w:t>
      </w:r>
      <w:r>
        <w:rPr>
          <w:rFonts w:ascii="Verdana" w:hAnsi="Verdana" w:cs="Arial"/>
          <w:bCs/>
          <w:kern w:val="36"/>
          <w:sz w:val="18"/>
          <w:szCs w:val="18"/>
          <w:lang w:val="en-ZA" w:eastAsia="en-ZA"/>
        </w:rPr>
        <w:t xml:space="preserve"> of the Eighth Schedule to the Income Tax Act 58 of 1962 and that the indemnity settlement obligation was entirely separate from the acquisition of the JDG shares</w:t>
      </w:r>
      <w:r w:rsidR="00C275C8">
        <w:rPr>
          <w:rFonts w:ascii="Verdana" w:hAnsi="Verdana" w:cs="Arial"/>
          <w:bCs/>
          <w:kern w:val="36"/>
          <w:sz w:val="18"/>
          <w:szCs w:val="18"/>
          <w:lang w:val="en-ZA" w:eastAsia="en-ZA"/>
        </w:rPr>
        <w:t xml:space="preserve"> and </w:t>
      </w:r>
      <w:r w:rsidR="004B0198">
        <w:rPr>
          <w:rFonts w:ascii="Verdana" w:hAnsi="Verdana" w:cs="Arial"/>
          <w:bCs/>
          <w:kern w:val="36"/>
          <w:sz w:val="18"/>
          <w:szCs w:val="18"/>
          <w:lang w:val="en-ZA" w:eastAsia="en-ZA"/>
        </w:rPr>
        <w:t xml:space="preserve">that </w:t>
      </w:r>
      <w:r w:rsidR="00C275C8">
        <w:rPr>
          <w:rFonts w:ascii="Verdana" w:hAnsi="Verdana" w:cs="Arial"/>
          <w:bCs/>
          <w:kern w:val="36"/>
          <w:sz w:val="18"/>
          <w:szCs w:val="18"/>
          <w:lang w:val="en-ZA" w:eastAsia="en-ZA"/>
        </w:rPr>
        <w:t>the cost was a cost of disposal, not acquisition.</w:t>
      </w:r>
    </w:p>
    <w:p w:rsidR="00A35217" w:rsidRDefault="00A35217" w:rsidP="00052B91">
      <w:pPr>
        <w:jc w:val="both"/>
        <w:rPr>
          <w:rFonts w:ascii="Verdana" w:hAnsi="Verdana" w:cs="Arial"/>
          <w:bCs/>
          <w:kern w:val="36"/>
          <w:sz w:val="18"/>
          <w:szCs w:val="18"/>
          <w:lang w:val="en-ZA" w:eastAsia="en-ZA"/>
        </w:rPr>
      </w:pPr>
    </w:p>
    <w:p w:rsidR="00A35217" w:rsidRDefault="00A35217" w:rsidP="00052B91">
      <w:pPr>
        <w:jc w:val="both"/>
        <w:rPr>
          <w:rFonts w:ascii="Verdana" w:hAnsi="Verdana" w:cs="Arial"/>
          <w:bCs/>
          <w:kern w:val="36"/>
          <w:sz w:val="18"/>
          <w:szCs w:val="18"/>
          <w:lang w:val="en-ZA" w:eastAsia="en-ZA"/>
        </w:rPr>
      </w:pPr>
    </w:p>
    <w:p w:rsidR="002F2E83" w:rsidRDefault="002F2E83" w:rsidP="00A35217">
      <w:pPr>
        <w:jc w:val="both"/>
        <w:rPr>
          <w:rFonts w:ascii="Verdana" w:hAnsi="Verdana" w:cs="Arial"/>
          <w:b/>
          <w:bCs/>
          <w:i/>
          <w:kern w:val="36"/>
          <w:sz w:val="18"/>
          <w:szCs w:val="18"/>
          <w:highlight w:val="yellow"/>
          <w:lang w:val="en-ZA" w:eastAsia="en-ZA"/>
        </w:rPr>
      </w:pPr>
    </w:p>
    <w:p w:rsidR="002F2E83" w:rsidRDefault="002F2E83" w:rsidP="00A35217">
      <w:pPr>
        <w:jc w:val="both"/>
        <w:rPr>
          <w:rFonts w:ascii="Verdana" w:hAnsi="Verdana" w:cs="Arial"/>
          <w:b/>
          <w:bCs/>
          <w:i/>
          <w:kern w:val="36"/>
          <w:sz w:val="18"/>
          <w:szCs w:val="18"/>
          <w:highlight w:val="yellow"/>
          <w:lang w:val="en-ZA" w:eastAsia="en-ZA"/>
        </w:rPr>
      </w:pPr>
    </w:p>
    <w:p w:rsidR="00A35217" w:rsidRPr="00DB0FB6" w:rsidRDefault="00C275C8" w:rsidP="00A35217">
      <w:pPr>
        <w:jc w:val="both"/>
        <w:rPr>
          <w:rFonts w:ascii="Verdana" w:hAnsi="Verdana" w:cs="Arial"/>
          <w:bCs/>
          <w:kern w:val="36"/>
          <w:sz w:val="18"/>
          <w:szCs w:val="18"/>
          <w:lang w:val="en-ZA" w:eastAsia="en-ZA"/>
        </w:rPr>
      </w:pPr>
      <w:proofErr w:type="spellStart"/>
      <w:r w:rsidRPr="00546921">
        <w:rPr>
          <w:rFonts w:ascii="Verdana" w:hAnsi="Verdana" w:cs="Arial"/>
          <w:b/>
          <w:bCs/>
          <w:i/>
          <w:kern w:val="36"/>
          <w:sz w:val="18"/>
          <w:szCs w:val="18"/>
          <w:lang w:val="en-ZA" w:eastAsia="en-ZA"/>
        </w:rPr>
        <w:t>Kluh</w:t>
      </w:r>
      <w:proofErr w:type="spellEnd"/>
      <w:r w:rsidRPr="00546921">
        <w:rPr>
          <w:rFonts w:ascii="Verdana" w:hAnsi="Verdana" w:cs="Arial"/>
          <w:b/>
          <w:bCs/>
          <w:i/>
          <w:kern w:val="36"/>
          <w:sz w:val="18"/>
          <w:szCs w:val="18"/>
          <w:lang w:val="en-ZA" w:eastAsia="en-ZA"/>
        </w:rPr>
        <w:t xml:space="preserve"> Investments (Pty) Ltd v Commissioner fo</w:t>
      </w:r>
      <w:r w:rsidR="00DC7DDA">
        <w:rPr>
          <w:rFonts w:ascii="Verdana" w:hAnsi="Verdana" w:cs="Arial"/>
          <w:b/>
          <w:bCs/>
          <w:i/>
          <w:kern w:val="36"/>
          <w:sz w:val="18"/>
          <w:szCs w:val="18"/>
          <w:lang w:val="en-ZA" w:eastAsia="en-ZA"/>
        </w:rPr>
        <w:t>r South African Revenue Service</w:t>
      </w:r>
      <w:r w:rsidR="00DB0FB6" w:rsidRPr="00546921">
        <w:rPr>
          <w:rFonts w:ascii="Verdana" w:hAnsi="Verdana" w:cs="Arial"/>
          <w:b/>
          <w:bCs/>
          <w:kern w:val="36"/>
          <w:sz w:val="18"/>
          <w:szCs w:val="18"/>
          <w:lang w:val="en-ZA" w:eastAsia="en-ZA"/>
        </w:rPr>
        <w:t xml:space="preserve"> </w:t>
      </w:r>
      <w:r w:rsidRPr="00546921">
        <w:rPr>
          <w:rFonts w:ascii="Verdana" w:hAnsi="Verdana" w:cs="Arial"/>
          <w:bCs/>
          <w:kern w:val="36"/>
          <w:sz w:val="18"/>
          <w:szCs w:val="18"/>
          <w:lang w:val="en-ZA" w:eastAsia="en-ZA"/>
        </w:rPr>
        <w:t>2015</w:t>
      </w:r>
      <w:r w:rsidRPr="00DB0FB6">
        <w:rPr>
          <w:rFonts w:ascii="Verdana" w:hAnsi="Verdana" w:cs="Arial"/>
          <w:bCs/>
          <w:kern w:val="36"/>
          <w:sz w:val="18"/>
          <w:szCs w:val="18"/>
          <w:lang w:val="en-ZA" w:eastAsia="en-ZA"/>
        </w:rPr>
        <w:t xml:space="preserve"> (1) SA 60 (WCC), 77 SATC 23</w:t>
      </w:r>
    </w:p>
    <w:p w:rsidR="00F16BAA" w:rsidRDefault="00F16BAA" w:rsidP="00655261">
      <w:pPr>
        <w:jc w:val="both"/>
        <w:rPr>
          <w:rFonts w:ascii="Verdana" w:hAnsi="Verdana" w:cs="Arial"/>
          <w:b/>
          <w:bCs/>
          <w:kern w:val="36"/>
          <w:sz w:val="18"/>
          <w:szCs w:val="18"/>
          <w:lang w:val="en-ZA" w:eastAsia="en-ZA"/>
        </w:rPr>
      </w:pPr>
    </w:p>
    <w:p w:rsidR="00F16BAA" w:rsidRDefault="00F16BAA" w:rsidP="00655261">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Background</w:t>
      </w:r>
      <w:r w:rsidR="00456B36">
        <w:rPr>
          <w:rFonts w:ascii="Verdana" w:hAnsi="Verdana" w:cs="Arial"/>
          <w:b/>
          <w:bCs/>
          <w:kern w:val="36"/>
          <w:sz w:val="18"/>
          <w:szCs w:val="18"/>
          <w:lang w:val="en-ZA" w:eastAsia="en-ZA"/>
        </w:rPr>
        <w:t xml:space="preserve"> </w:t>
      </w:r>
    </w:p>
    <w:p w:rsidR="00A35217" w:rsidRPr="00655261" w:rsidRDefault="00456B36" w:rsidP="00655261">
      <w:pPr>
        <w:jc w:val="both"/>
        <w:rPr>
          <w:rFonts w:ascii="Verdana" w:hAnsi="Verdana" w:cs="Arial"/>
          <w:bCs/>
          <w:kern w:val="36"/>
          <w:sz w:val="18"/>
          <w:szCs w:val="18"/>
          <w:lang w:val="en-ZA" w:eastAsia="en-ZA"/>
        </w:rPr>
      </w:pPr>
      <w:r>
        <w:rPr>
          <w:rFonts w:ascii="Verdana" w:hAnsi="Verdana" w:cs="Arial"/>
          <w:bCs/>
          <w:kern w:val="36"/>
          <w:sz w:val="18"/>
          <w:szCs w:val="18"/>
          <w:lang w:val="en-ZA" w:eastAsia="en-ZA"/>
        </w:rPr>
        <w:lastRenderedPageBreak/>
        <w:t>The appellant company had disposed of a plantation during the 2004 tax year, the proceeds from the disposal of which were the subject of a disputed assessment to income tax.</w:t>
      </w:r>
    </w:p>
    <w:p w:rsidR="00F16BAA" w:rsidRDefault="00F16BAA" w:rsidP="00A35217">
      <w:pPr>
        <w:jc w:val="both"/>
        <w:rPr>
          <w:rFonts w:ascii="Verdana" w:hAnsi="Verdana" w:cs="Arial"/>
          <w:b/>
          <w:bCs/>
          <w:kern w:val="36"/>
          <w:sz w:val="18"/>
          <w:szCs w:val="18"/>
          <w:lang w:val="en-ZA" w:eastAsia="en-ZA"/>
        </w:rPr>
      </w:pPr>
    </w:p>
    <w:p w:rsidR="00F16BAA" w:rsidRDefault="00F16BAA" w:rsidP="00A35217">
      <w:pPr>
        <w:jc w:val="both"/>
        <w:rPr>
          <w:rFonts w:ascii="Verdana" w:hAnsi="Verdana" w:cs="Arial"/>
          <w:bCs/>
          <w:kern w:val="36"/>
          <w:sz w:val="18"/>
          <w:szCs w:val="18"/>
          <w:lang w:val="en-ZA" w:eastAsia="en-ZA"/>
        </w:rPr>
      </w:pPr>
      <w:r>
        <w:rPr>
          <w:rFonts w:ascii="Verdana" w:hAnsi="Verdana" w:cs="Arial"/>
          <w:b/>
          <w:bCs/>
          <w:kern w:val="36"/>
          <w:sz w:val="18"/>
          <w:szCs w:val="18"/>
          <w:lang w:val="en-ZA" w:eastAsia="en-ZA"/>
        </w:rPr>
        <w:t>Facts</w:t>
      </w:r>
      <w:r w:rsidR="00456B36" w:rsidRPr="00456B36">
        <w:rPr>
          <w:rFonts w:ascii="Verdana" w:hAnsi="Verdana" w:cs="Arial"/>
          <w:bCs/>
          <w:kern w:val="36"/>
          <w:sz w:val="18"/>
          <w:szCs w:val="18"/>
          <w:lang w:val="en-ZA" w:eastAsia="en-ZA"/>
        </w:rPr>
        <w:t xml:space="preserve"> </w:t>
      </w:r>
    </w:p>
    <w:p w:rsidR="00A35217" w:rsidRPr="00A00D28" w:rsidRDefault="00456B36" w:rsidP="00A35217">
      <w:pPr>
        <w:jc w:val="both"/>
        <w:rPr>
          <w:rFonts w:ascii="Verdana" w:hAnsi="Verdana" w:cs="Arial"/>
          <w:b/>
          <w:bCs/>
          <w:kern w:val="36"/>
          <w:sz w:val="18"/>
          <w:szCs w:val="18"/>
          <w:lang w:val="en-ZA" w:eastAsia="en-ZA"/>
        </w:rPr>
      </w:pPr>
      <w:r>
        <w:rPr>
          <w:rFonts w:ascii="Verdana" w:hAnsi="Verdana" w:cs="Arial"/>
          <w:bCs/>
          <w:kern w:val="36"/>
          <w:sz w:val="18"/>
          <w:szCs w:val="18"/>
          <w:lang w:val="en-ZA" w:eastAsia="en-ZA"/>
        </w:rPr>
        <w:t>The a</w:t>
      </w:r>
      <w:r w:rsidRPr="004B2D8A">
        <w:rPr>
          <w:rFonts w:ascii="Verdana" w:hAnsi="Verdana" w:cs="Arial"/>
          <w:bCs/>
          <w:kern w:val="36"/>
          <w:sz w:val="18"/>
          <w:szCs w:val="18"/>
          <w:lang w:val="en-ZA" w:eastAsia="en-ZA"/>
        </w:rPr>
        <w:t>ppellant</w:t>
      </w:r>
      <w:r>
        <w:rPr>
          <w:rFonts w:ascii="Verdana" w:hAnsi="Verdana" w:cs="Arial"/>
          <w:bCs/>
          <w:kern w:val="36"/>
          <w:sz w:val="18"/>
          <w:szCs w:val="18"/>
          <w:lang w:val="en-ZA" w:eastAsia="en-ZA"/>
        </w:rPr>
        <w:t xml:space="preserve"> had entered into an arrangement with another company, allowing the latter to conduct farming operations for its own account on the land and to maintain the existing farming system in accordance with best practice on the basis that it would return the plantation to the appellant intact when the agreement terminated</w:t>
      </w:r>
      <w:r w:rsidR="006C4BEC">
        <w:rPr>
          <w:rFonts w:ascii="Verdana" w:hAnsi="Verdana" w:cs="Arial"/>
          <w:bCs/>
          <w:kern w:val="36"/>
          <w:sz w:val="18"/>
          <w:szCs w:val="18"/>
          <w:lang w:val="en-ZA" w:eastAsia="en-ZA"/>
        </w:rPr>
        <w:t>.</w:t>
      </w:r>
    </w:p>
    <w:p w:rsidR="00F16BAA" w:rsidRDefault="00F16BAA" w:rsidP="00A35217">
      <w:pPr>
        <w:jc w:val="both"/>
        <w:rPr>
          <w:rFonts w:ascii="Verdana" w:hAnsi="Verdana" w:cs="Arial"/>
          <w:b/>
          <w:bCs/>
          <w:kern w:val="36"/>
          <w:sz w:val="18"/>
          <w:szCs w:val="18"/>
          <w:lang w:val="en-ZA" w:eastAsia="en-ZA"/>
        </w:rPr>
      </w:pPr>
    </w:p>
    <w:p w:rsidR="00F16BAA" w:rsidRDefault="00F16BAA" w:rsidP="00A35217">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Issue</w:t>
      </w:r>
      <w:r w:rsidR="00456B36">
        <w:rPr>
          <w:rFonts w:ascii="Verdana" w:hAnsi="Verdana" w:cs="Arial"/>
          <w:b/>
          <w:bCs/>
          <w:kern w:val="36"/>
          <w:sz w:val="18"/>
          <w:szCs w:val="18"/>
          <w:lang w:val="en-ZA" w:eastAsia="en-ZA"/>
        </w:rPr>
        <w:t xml:space="preserve"> </w:t>
      </w:r>
    </w:p>
    <w:p w:rsidR="00A35217" w:rsidRPr="00655261" w:rsidRDefault="00456B36" w:rsidP="00A35217">
      <w:pPr>
        <w:jc w:val="both"/>
        <w:rPr>
          <w:rFonts w:ascii="Verdana" w:hAnsi="Verdana" w:cs="Arial"/>
          <w:bCs/>
          <w:kern w:val="36"/>
          <w:sz w:val="18"/>
          <w:szCs w:val="18"/>
          <w:lang w:val="en-ZA" w:eastAsia="en-ZA"/>
        </w:rPr>
      </w:pPr>
      <w:r w:rsidRPr="00655261">
        <w:rPr>
          <w:rFonts w:ascii="Verdana" w:hAnsi="Verdana" w:cs="Arial"/>
          <w:bCs/>
          <w:kern w:val="36"/>
          <w:sz w:val="18"/>
          <w:szCs w:val="18"/>
          <w:lang w:val="en-ZA" w:eastAsia="en-ZA"/>
        </w:rPr>
        <w:t>The issue before the court</w:t>
      </w:r>
      <w:r>
        <w:rPr>
          <w:rFonts w:ascii="Verdana" w:hAnsi="Verdana" w:cs="Arial"/>
          <w:bCs/>
          <w:kern w:val="36"/>
          <w:sz w:val="18"/>
          <w:szCs w:val="18"/>
          <w:lang w:val="en-ZA" w:eastAsia="en-ZA"/>
        </w:rPr>
        <w:t xml:space="preserve"> was whether the appellant had been the party </w:t>
      </w:r>
      <w:r w:rsidR="00A16DA1">
        <w:rPr>
          <w:rFonts w:ascii="Verdana" w:hAnsi="Verdana" w:cs="Arial"/>
          <w:bCs/>
          <w:kern w:val="36"/>
          <w:sz w:val="18"/>
          <w:szCs w:val="18"/>
          <w:lang w:val="en-ZA" w:eastAsia="en-ZA"/>
        </w:rPr>
        <w:t xml:space="preserve">who was </w:t>
      </w:r>
      <w:r>
        <w:rPr>
          <w:rFonts w:ascii="Verdana" w:hAnsi="Verdana" w:cs="Arial"/>
          <w:bCs/>
          <w:kern w:val="36"/>
          <w:sz w:val="18"/>
          <w:szCs w:val="18"/>
          <w:lang w:val="en-ZA" w:eastAsia="en-ZA"/>
        </w:rPr>
        <w:t>carrying on farming operations and, if so, w</w:t>
      </w:r>
      <w:r w:rsidR="00D31DF2">
        <w:rPr>
          <w:rFonts w:ascii="Verdana" w:hAnsi="Verdana" w:cs="Arial"/>
          <w:bCs/>
          <w:kern w:val="36"/>
          <w:sz w:val="18"/>
          <w:szCs w:val="18"/>
          <w:lang w:val="en-ZA" w:eastAsia="en-ZA"/>
        </w:rPr>
        <w:t>hether the</w:t>
      </w:r>
      <w:r>
        <w:rPr>
          <w:rFonts w:ascii="Verdana" w:hAnsi="Verdana" w:cs="Arial"/>
          <w:bCs/>
          <w:kern w:val="36"/>
          <w:sz w:val="18"/>
          <w:szCs w:val="18"/>
          <w:lang w:val="en-ZA" w:eastAsia="en-ZA"/>
        </w:rPr>
        <w:t xml:space="preserve"> proceeds from the disposal of the plantation in question </w:t>
      </w:r>
      <w:r w:rsidR="00D31DF2">
        <w:rPr>
          <w:rFonts w:ascii="Verdana" w:hAnsi="Verdana" w:cs="Arial"/>
          <w:bCs/>
          <w:kern w:val="36"/>
          <w:sz w:val="18"/>
          <w:szCs w:val="18"/>
          <w:lang w:val="en-ZA" w:eastAsia="en-ZA"/>
        </w:rPr>
        <w:t xml:space="preserve">were </w:t>
      </w:r>
      <w:r>
        <w:rPr>
          <w:rFonts w:ascii="Verdana" w:hAnsi="Verdana" w:cs="Arial"/>
          <w:bCs/>
          <w:kern w:val="36"/>
          <w:sz w:val="18"/>
          <w:szCs w:val="18"/>
          <w:lang w:val="en-ZA" w:eastAsia="en-ZA"/>
        </w:rPr>
        <w:t>derived from such farming oper</w:t>
      </w:r>
      <w:r w:rsidR="0034567E">
        <w:rPr>
          <w:rFonts w:ascii="Verdana" w:hAnsi="Verdana" w:cs="Arial"/>
          <w:bCs/>
          <w:kern w:val="36"/>
          <w:sz w:val="18"/>
          <w:szCs w:val="18"/>
          <w:lang w:val="en-ZA" w:eastAsia="en-ZA"/>
        </w:rPr>
        <w:t>ations.</w:t>
      </w:r>
    </w:p>
    <w:p w:rsidR="00F16BAA" w:rsidRDefault="00F16BAA" w:rsidP="00A35217">
      <w:pPr>
        <w:jc w:val="both"/>
        <w:rPr>
          <w:rFonts w:ascii="Verdana" w:hAnsi="Verdana" w:cs="Arial"/>
          <w:b/>
          <w:bCs/>
          <w:kern w:val="36"/>
          <w:sz w:val="18"/>
          <w:szCs w:val="18"/>
          <w:lang w:val="en-ZA" w:eastAsia="en-ZA"/>
        </w:rPr>
      </w:pPr>
    </w:p>
    <w:p w:rsidR="00F16BAA" w:rsidRDefault="00F16BAA" w:rsidP="00A35217">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Decision</w:t>
      </w:r>
      <w:r w:rsidR="00D31DF2">
        <w:rPr>
          <w:rFonts w:ascii="Verdana" w:hAnsi="Verdana" w:cs="Arial"/>
          <w:b/>
          <w:bCs/>
          <w:kern w:val="36"/>
          <w:sz w:val="18"/>
          <w:szCs w:val="18"/>
          <w:lang w:val="en-ZA" w:eastAsia="en-ZA"/>
        </w:rPr>
        <w:t xml:space="preserve"> </w:t>
      </w:r>
    </w:p>
    <w:p w:rsidR="00A35217" w:rsidRPr="00A00D28" w:rsidRDefault="00D31DF2" w:rsidP="00A35217">
      <w:pPr>
        <w:jc w:val="both"/>
        <w:rPr>
          <w:rFonts w:ascii="Verdana" w:hAnsi="Verdana" w:cs="Arial"/>
          <w:b/>
          <w:bCs/>
          <w:kern w:val="36"/>
          <w:sz w:val="18"/>
          <w:szCs w:val="18"/>
          <w:lang w:val="en-ZA" w:eastAsia="en-ZA"/>
        </w:rPr>
      </w:pPr>
      <w:r>
        <w:rPr>
          <w:rFonts w:ascii="Verdana" w:hAnsi="Verdana" w:cs="Arial"/>
          <w:bCs/>
          <w:kern w:val="36"/>
          <w:sz w:val="18"/>
          <w:szCs w:val="18"/>
          <w:lang w:val="en-ZA" w:eastAsia="en-ZA"/>
        </w:rPr>
        <w:t>For the carrying on of farming operations, there ha</w:t>
      </w:r>
      <w:r w:rsidR="00697844">
        <w:rPr>
          <w:rFonts w:ascii="Verdana" w:hAnsi="Verdana" w:cs="Arial"/>
          <w:bCs/>
          <w:kern w:val="36"/>
          <w:sz w:val="18"/>
          <w:szCs w:val="18"/>
          <w:lang w:val="en-ZA" w:eastAsia="en-ZA"/>
        </w:rPr>
        <w:t>s</w:t>
      </w:r>
      <w:r>
        <w:rPr>
          <w:rFonts w:ascii="Verdana" w:hAnsi="Verdana" w:cs="Arial"/>
          <w:bCs/>
          <w:kern w:val="36"/>
          <w:sz w:val="18"/>
          <w:szCs w:val="18"/>
          <w:lang w:val="en-ZA" w:eastAsia="en-ZA"/>
        </w:rPr>
        <w:t xml:space="preserve"> to be conduct by the taxpayer apart from disposing of a previously-acquired plantation. In this particular matter, the other company involved had been </w:t>
      </w:r>
      <w:r w:rsidR="00AE1BE7">
        <w:rPr>
          <w:rFonts w:ascii="Verdana" w:hAnsi="Verdana" w:cs="Arial"/>
          <w:bCs/>
          <w:kern w:val="36"/>
          <w:sz w:val="18"/>
          <w:szCs w:val="18"/>
          <w:lang w:val="en-ZA" w:eastAsia="en-ZA"/>
        </w:rPr>
        <w:t xml:space="preserve">the party </w:t>
      </w:r>
      <w:r>
        <w:rPr>
          <w:rFonts w:ascii="Verdana" w:hAnsi="Verdana" w:cs="Arial"/>
          <w:bCs/>
          <w:kern w:val="36"/>
          <w:sz w:val="18"/>
          <w:szCs w:val="18"/>
          <w:lang w:val="en-ZA" w:eastAsia="en-ZA"/>
        </w:rPr>
        <w:t xml:space="preserve">carrying on farming operations for </w:t>
      </w:r>
      <w:r w:rsidR="00F16BAA">
        <w:rPr>
          <w:rFonts w:ascii="Verdana" w:hAnsi="Verdana" w:cs="Arial"/>
          <w:bCs/>
          <w:kern w:val="36"/>
          <w:sz w:val="18"/>
          <w:szCs w:val="18"/>
          <w:lang w:val="en-ZA" w:eastAsia="en-ZA"/>
        </w:rPr>
        <w:t>its own profit and loss; s</w:t>
      </w:r>
      <w:r>
        <w:rPr>
          <w:rFonts w:ascii="Verdana" w:hAnsi="Verdana" w:cs="Arial"/>
          <w:bCs/>
          <w:kern w:val="36"/>
          <w:sz w:val="18"/>
          <w:szCs w:val="18"/>
          <w:lang w:val="en-ZA" w:eastAsia="en-ZA"/>
        </w:rPr>
        <w:t xml:space="preserve"> 26(1) of the Income Tax Act 58 of 1962 was therefore not applicable in that </w:t>
      </w:r>
      <w:r w:rsidR="00697844">
        <w:rPr>
          <w:rFonts w:ascii="Verdana" w:hAnsi="Verdana" w:cs="Arial"/>
          <w:bCs/>
          <w:kern w:val="36"/>
          <w:sz w:val="18"/>
          <w:szCs w:val="18"/>
          <w:lang w:val="en-ZA" w:eastAsia="en-ZA"/>
        </w:rPr>
        <w:t xml:space="preserve">it was not </w:t>
      </w:r>
      <w:r>
        <w:rPr>
          <w:rFonts w:ascii="Verdana" w:hAnsi="Verdana" w:cs="Arial"/>
          <w:bCs/>
          <w:kern w:val="36"/>
          <w:sz w:val="18"/>
          <w:szCs w:val="18"/>
          <w:lang w:val="en-ZA" w:eastAsia="en-ZA"/>
        </w:rPr>
        <w:t xml:space="preserve">the appellant </w:t>
      </w:r>
      <w:r w:rsidR="00697844">
        <w:rPr>
          <w:rFonts w:ascii="Verdana" w:hAnsi="Verdana" w:cs="Arial"/>
          <w:bCs/>
          <w:kern w:val="36"/>
          <w:sz w:val="18"/>
          <w:szCs w:val="18"/>
          <w:lang w:val="en-ZA" w:eastAsia="en-ZA"/>
        </w:rPr>
        <w:t xml:space="preserve">who </w:t>
      </w:r>
      <w:r>
        <w:rPr>
          <w:rFonts w:ascii="Verdana" w:hAnsi="Verdana" w:cs="Arial"/>
          <w:bCs/>
          <w:kern w:val="36"/>
          <w:sz w:val="18"/>
          <w:szCs w:val="18"/>
          <w:lang w:val="en-ZA" w:eastAsia="en-ZA"/>
        </w:rPr>
        <w:t xml:space="preserve">had been carrying on farming operations. In the hands of the appellant, the proceeds of the disposal of the plantation were capital and not deemed </w:t>
      </w:r>
      <w:r w:rsidR="00F16BAA">
        <w:rPr>
          <w:rFonts w:ascii="Verdana" w:hAnsi="Verdana" w:cs="Arial"/>
          <w:bCs/>
          <w:kern w:val="36"/>
          <w:sz w:val="18"/>
          <w:szCs w:val="18"/>
          <w:lang w:val="en-ZA" w:eastAsia="en-ZA"/>
        </w:rPr>
        <w:t>income as envisaged in para</w:t>
      </w:r>
      <w:r>
        <w:rPr>
          <w:rFonts w:ascii="Verdana" w:hAnsi="Verdana" w:cs="Arial"/>
          <w:bCs/>
          <w:kern w:val="36"/>
          <w:sz w:val="18"/>
          <w:szCs w:val="18"/>
          <w:lang w:val="en-ZA" w:eastAsia="en-ZA"/>
        </w:rPr>
        <w:t xml:space="preserve"> 14 of the First Schedule</w:t>
      </w:r>
      <w:r w:rsidR="00AE1BE7">
        <w:rPr>
          <w:rFonts w:ascii="Verdana" w:hAnsi="Verdana" w:cs="Arial"/>
          <w:bCs/>
          <w:kern w:val="36"/>
          <w:sz w:val="18"/>
          <w:szCs w:val="18"/>
          <w:lang w:val="en-ZA" w:eastAsia="en-ZA"/>
        </w:rPr>
        <w:t xml:space="preserve"> to the Act</w:t>
      </w:r>
      <w:r>
        <w:rPr>
          <w:rFonts w:ascii="Verdana" w:hAnsi="Verdana" w:cs="Arial"/>
          <w:bCs/>
          <w:kern w:val="36"/>
          <w:sz w:val="18"/>
          <w:szCs w:val="18"/>
          <w:lang w:val="en-ZA" w:eastAsia="en-ZA"/>
        </w:rPr>
        <w:t>.</w:t>
      </w:r>
    </w:p>
    <w:p w:rsidR="00A35217" w:rsidRDefault="00A35217" w:rsidP="00052B91">
      <w:pPr>
        <w:jc w:val="both"/>
        <w:rPr>
          <w:rFonts w:ascii="Verdana" w:hAnsi="Verdana" w:cs="Arial"/>
          <w:bCs/>
          <w:kern w:val="36"/>
          <w:sz w:val="18"/>
          <w:szCs w:val="18"/>
          <w:lang w:val="en-ZA" w:eastAsia="en-ZA"/>
        </w:rPr>
      </w:pPr>
    </w:p>
    <w:p w:rsidR="00D31DF2" w:rsidRDefault="00D31DF2" w:rsidP="00052B91">
      <w:pPr>
        <w:jc w:val="both"/>
        <w:rPr>
          <w:rFonts w:ascii="Verdana" w:hAnsi="Verdana" w:cs="Arial"/>
          <w:bCs/>
          <w:kern w:val="36"/>
          <w:sz w:val="18"/>
          <w:szCs w:val="18"/>
          <w:lang w:val="en-ZA" w:eastAsia="en-ZA"/>
        </w:rPr>
      </w:pPr>
    </w:p>
    <w:p w:rsidR="00697844" w:rsidRPr="00DB0FB6" w:rsidRDefault="00697844" w:rsidP="00052B91">
      <w:pPr>
        <w:jc w:val="both"/>
        <w:rPr>
          <w:rFonts w:ascii="Verdana" w:hAnsi="Verdana" w:cs="Arial"/>
          <w:bCs/>
          <w:kern w:val="36"/>
          <w:sz w:val="18"/>
          <w:szCs w:val="18"/>
          <w:lang w:val="en-ZA" w:eastAsia="en-ZA"/>
        </w:rPr>
      </w:pPr>
      <w:r w:rsidRPr="00546921">
        <w:rPr>
          <w:rFonts w:ascii="Verdana" w:hAnsi="Verdana" w:cs="Arial"/>
          <w:b/>
          <w:bCs/>
          <w:i/>
          <w:kern w:val="36"/>
          <w:sz w:val="18"/>
          <w:szCs w:val="18"/>
          <w:lang w:val="en-ZA" w:eastAsia="en-ZA"/>
        </w:rPr>
        <w:t>Commissioner for South African</w:t>
      </w:r>
      <w:r w:rsidR="00DC7DDA">
        <w:rPr>
          <w:rFonts w:ascii="Verdana" w:hAnsi="Verdana" w:cs="Arial"/>
          <w:b/>
          <w:bCs/>
          <w:i/>
          <w:kern w:val="36"/>
          <w:sz w:val="18"/>
          <w:szCs w:val="18"/>
          <w:lang w:val="en-ZA" w:eastAsia="en-ZA"/>
        </w:rPr>
        <w:t xml:space="preserve"> Revenue Service v Bosch</w:t>
      </w:r>
      <w:r w:rsidR="00DB0FB6" w:rsidRPr="00546921">
        <w:rPr>
          <w:rFonts w:ascii="Verdana" w:hAnsi="Verdana" w:cs="Arial"/>
          <w:b/>
          <w:bCs/>
          <w:kern w:val="36"/>
          <w:sz w:val="18"/>
          <w:szCs w:val="18"/>
          <w:lang w:val="en-ZA" w:eastAsia="en-ZA"/>
        </w:rPr>
        <w:t xml:space="preserve"> </w:t>
      </w:r>
      <w:r w:rsidRPr="00546921">
        <w:rPr>
          <w:rFonts w:ascii="Verdana" w:hAnsi="Verdana" w:cs="Arial"/>
          <w:bCs/>
          <w:kern w:val="36"/>
          <w:sz w:val="18"/>
          <w:szCs w:val="18"/>
          <w:lang w:val="en-ZA" w:eastAsia="en-ZA"/>
        </w:rPr>
        <w:t>2015 (2) SA 174 (SCA), 77</w:t>
      </w:r>
      <w:r w:rsidRPr="00DB0FB6">
        <w:rPr>
          <w:rFonts w:ascii="Verdana" w:hAnsi="Verdana" w:cs="Arial"/>
          <w:bCs/>
          <w:kern w:val="36"/>
          <w:sz w:val="18"/>
          <w:szCs w:val="18"/>
          <w:lang w:val="en-ZA" w:eastAsia="en-ZA"/>
        </w:rPr>
        <w:t xml:space="preserve"> SATC 61</w:t>
      </w:r>
    </w:p>
    <w:p w:rsidR="00F16BAA" w:rsidRDefault="00F16BAA" w:rsidP="00052B91">
      <w:pPr>
        <w:jc w:val="both"/>
        <w:rPr>
          <w:rFonts w:ascii="Verdana" w:hAnsi="Verdana" w:cs="Arial"/>
          <w:b/>
          <w:bCs/>
          <w:kern w:val="36"/>
          <w:sz w:val="18"/>
          <w:szCs w:val="18"/>
          <w:lang w:val="en-ZA" w:eastAsia="en-ZA"/>
        </w:rPr>
      </w:pPr>
    </w:p>
    <w:p w:rsidR="00F16BAA" w:rsidRDefault="00F16BAA" w:rsidP="00052B91">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Background</w:t>
      </w:r>
      <w:r w:rsidR="00503482">
        <w:rPr>
          <w:rFonts w:ascii="Verdana" w:hAnsi="Verdana" w:cs="Arial"/>
          <w:b/>
          <w:bCs/>
          <w:kern w:val="36"/>
          <w:sz w:val="18"/>
          <w:szCs w:val="18"/>
          <w:lang w:val="en-ZA" w:eastAsia="en-ZA"/>
        </w:rPr>
        <w:t xml:space="preserve"> </w:t>
      </w:r>
    </w:p>
    <w:p w:rsidR="00D31DF2" w:rsidRPr="00655261" w:rsidRDefault="00503482" w:rsidP="00052B91">
      <w:pPr>
        <w:jc w:val="both"/>
        <w:rPr>
          <w:rFonts w:ascii="Verdana" w:hAnsi="Verdana" w:cs="Arial"/>
          <w:bCs/>
          <w:kern w:val="36"/>
          <w:sz w:val="18"/>
          <w:szCs w:val="18"/>
          <w:lang w:val="en-ZA" w:eastAsia="en-ZA"/>
        </w:rPr>
      </w:pPr>
      <w:r>
        <w:rPr>
          <w:rFonts w:ascii="Verdana" w:hAnsi="Verdana" w:cs="Arial"/>
          <w:bCs/>
          <w:kern w:val="36"/>
          <w:sz w:val="18"/>
          <w:szCs w:val="18"/>
          <w:lang w:val="en-ZA" w:eastAsia="en-ZA"/>
        </w:rPr>
        <w:t>The two respondents were senior employees of the Foschini group of companies.</w:t>
      </w:r>
    </w:p>
    <w:p w:rsidR="00F16BAA" w:rsidRDefault="00F16BAA" w:rsidP="00052B91">
      <w:pPr>
        <w:jc w:val="both"/>
        <w:rPr>
          <w:rFonts w:ascii="Verdana" w:hAnsi="Verdana" w:cs="Arial"/>
          <w:b/>
          <w:bCs/>
          <w:kern w:val="36"/>
          <w:sz w:val="18"/>
          <w:szCs w:val="18"/>
          <w:lang w:val="en-ZA" w:eastAsia="en-ZA"/>
        </w:rPr>
      </w:pPr>
    </w:p>
    <w:p w:rsidR="00F16BAA" w:rsidRDefault="00F16BAA" w:rsidP="00052B91">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Facts</w:t>
      </w:r>
      <w:r w:rsidR="00503482">
        <w:rPr>
          <w:rFonts w:ascii="Verdana" w:hAnsi="Verdana" w:cs="Arial"/>
          <w:b/>
          <w:bCs/>
          <w:kern w:val="36"/>
          <w:sz w:val="18"/>
          <w:szCs w:val="18"/>
          <w:lang w:val="en-ZA" w:eastAsia="en-ZA"/>
        </w:rPr>
        <w:t xml:space="preserve"> </w:t>
      </w:r>
    </w:p>
    <w:p w:rsidR="00D31DF2" w:rsidRPr="00655261" w:rsidRDefault="00503482" w:rsidP="00052B91">
      <w:pPr>
        <w:jc w:val="both"/>
        <w:rPr>
          <w:rFonts w:ascii="Verdana" w:hAnsi="Verdana" w:cs="Arial"/>
          <w:bCs/>
          <w:kern w:val="36"/>
          <w:sz w:val="18"/>
          <w:szCs w:val="18"/>
          <w:lang w:val="en-ZA" w:eastAsia="en-ZA"/>
        </w:rPr>
      </w:pPr>
      <w:r w:rsidRPr="00655261">
        <w:rPr>
          <w:rFonts w:ascii="Verdana" w:hAnsi="Verdana" w:cs="Arial"/>
          <w:bCs/>
          <w:kern w:val="36"/>
          <w:sz w:val="18"/>
          <w:szCs w:val="18"/>
          <w:lang w:val="en-ZA" w:eastAsia="en-ZA"/>
        </w:rPr>
        <w:t xml:space="preserve">Additional assessments </w:t>
      </w:r>
      <w:r>
        <w:rPr>
          <w:rFonts w:ascii="Verdana" w:hAnsi="Verdana" w:cs="Arial"/>
          <w:bCs/>
          <w:kern w:val="36"/>
          <w:sz w:val="18"/>
          <w:szCs w:val="18"/>
          <w:lang w:val="en-ZA" w:eastAsia="en-ZA"/>
        </w:rPr>
        <w:t xml:space="preserve">had been issued to the respondents </w:t>
      </w:r>
      <w:r w:rsidRPr="00655261">
        <w:rPr>
          <w:rFonts w:ascii="Verdana" w:hAnsi="Verdana" w:cs="Arial"/>
          <w:bCs/>
          <w:kern w:val="36"/>
          <w:sz w:val="18"/>
          <w:szCs w:val="18"/>
          <w:lang w:val="en-ZA" w:eastAsia="en-ZA"/>
        </w:rPr>
        <w:t>arising out of</w:t>
      </w:r>
      <w:r>
        <w:rPr>
          <w:rFonts w:ascii="Verdana" w:hAnsi="Verdana" w:cs="Arial"/>
          <w:bCs/>
          <w:kern w:val="36"/>
          <w:sz w:val="18"/>
          <w:szCs w:val="18"/>
          <w:lang w:val="en-ZA" w:eastAsia="en-ZA"/>
        </w:rPr>
        <w:t xml:space="preserve"> benefits received by them in terms of</w:t>
      </w:r>
      <w:r w:rsidRPr="00655261">
        <w:rPr>
          <w:rFonts w:ascii="Verdana" w:hAnsi="Verdana" w:cs="Arial"/>
          <w:bCs/>
          <w:kern w:val="36"/>
          <w:sz w:val="18"/>
          <w:szCs w:val="18"/>
          <w:lang w:val="en-ZA" w:eastAsia="en-ZA"/>
        </w:rPr>
        <w:t xml:space="preserve"> a share option scheme involving </w:t>
      </w:r>
      <w:r>
        <w:rPr>
          <w:rFonts w:ascii="Verdana" w:hAnsi="Verdana" w:cs="Arial"/>
          <w:bCs/>
          <w:kern w:val="36"/>
          <w:sz w:val="18"/>
          <w:szCs w:val="18"/>
          <w:lang w:val="en-ZA" w:eastAsia="en-ZA"/>
        </w:rPr>
        <w:t xml:space="preserve">the granting of an option to purchase shares in a Foschini company and the </w:t>
      </w:r>
      <w:r w:rsidRPr="00655261">
        <w:rPr>
          <w:rFonts w:ascii="Verdana" w:hAnsi="Verdana" w:cs="Arial"/>
          <w:bCs/>
          <w:kern w:val="36"/>
          <w:sz w:val="18"/>
          <w:szCs w:val="18"/>
          <w:lang w:val="en-ZA" w:eastAsia="en-ZA"/>
        </w:rPr>
        <w:t xml:space="preserve">deferred delivery of </w:t>
      </w:r>
      <w:r>
        <w:rPr>
          <w:rFonts w:ascii="Verdana" w:hAnsi="Verdana" w:cs="Arial"/>
          <w:bCs/>
          <w:kern w:val="36"/>
          <w:sz w:val="18"/>
          <w:szCs w:val="18"/>
          <w:lang w:val="en-ZA" w:eastAsia="en-ZA"/>
        </w:rPr>
        <w:t xml:space="preserve">the </w:t>
      </w:r>
      <w:r w:rsidRPr="00655261">
        <w:rPr>
          <w:rFonts w:ascii="Verdana" w:hAnsi="Verdana" w:cs="Arial"/>
          <w:bCs/>
          <w:kern w:val="36"/>
          <w:sz w:val="18"/>
          <w:szCs w:val="18"/>
          <w:lang w:val="en-ZA" w:eastAsia="en-ZA"/>
        </w:rPr>
        <w:t>shares</w:t>
      </w:r>
      <w:r>
        <w:rPr>
          <w:rFonts w:ascii="Verdana" w:hAnsi="Verdana" w:cs="Arial"/>
          <w:bCs/>
          <w:kern w:val="36"/>
          <w:sz w:val="18"/>
          <w:szCs w:val="18"/>
          <w:lang w:val="en-ZA" w:eastAsia="en-ZA"/>
        </w:rPr>
        <w:t xml:space="preserve"> if the taxpayers did not avail themselves of their right to dispose of the shares instead of taking delivery.</w:t>
      </w:r>
    </w:p>
    <w:p w:rsidR="00F16BAA" w:rsidRDefault="00F16BAA" w:rsidP="00052B91">
      <w:pPr>
        <w:jc w:val="both"/>
        <w:rPr>
          <w:rFonts w:ascii="Verdana" w:hAnsi="Verdana" w:cs="Arial"/>
          <w:b/>
          <w:bCs/>
          <w:kern w:val="36"/>
          <w:sz w:val="18"/>
          <w:szCs w:val="18"/>
          <w:lang w:val="en-ZA" w:eastAsia="en-ZA"/>
        </w:rPr>
      </w:pPr>
    </w:p>
    <w:p w:rsidR="00F16BAA" w:rsidRDefault="00F16BAA" w:rsidP="00052B91">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Issue</w:t>
      </w:r>
      <w:r w:rsidR="00503482">
        <w:rPr>
          <w:rFonts w:ascii="Verdana" w:hAnsi="Verdana" w:cs="Arial"/>
          <w:b/>
          <w:bCs/>
          <w:kern w:val="36"/>
          <w:sz w:val="18"/>
          <w:szCs w:val="18"/>
          <w:lang w:val="en-ZA" w:eastAsia="en-ZA"/>
        </w:rPr>
        <w:t xml:space="preserve"> </w:t>
      </w:r>
    </w:p>
    <w:p w:rsidR="00D31DF2" w:rsidRPr="00655261" w:rsidRDefault="00503482" w:rsidP="00052B91">
      <w:pPr>
        <w:jc w:val="both"/>
        <w:rPr>
          <w:rFonts w:ascii="Verdana" w:hAnsi="Verdana" w:cs="Arial"/>
          <w:bCs/>
          <w:kern w:val="36"/>
          <w:sz w:val="18"/>
          <w:szCs w:val="18"/>
          <w:lang w:val="en-ZA" w:eastAsia="en-ZA"/>
        </w:rPr>
      </w:pPr>
      <w:r w:rsidRPr="00655261">
        <w:rPr>
          <w:rFonts w:ascii="Verdana" w:hAnsi="Verdana" w:cs="Arial"/>
          <w:bCs/>
          <w:kern w:val="36"/>
          <w:sz w:val="18"/>
          <w:szCs w:val="18"/>
          <w:lang w:val="en-ZA" w:eastAsia="en-ZA"/>
        </w:rPr>
        <w:t xml:space="preserve">The </w:t>
      </w:r>
      <w:r>
        <w:rPr>
          <w:rFonts w:ascii="Verdana" w:hAnsi="Verdana" w:cs="Arial"/>
          <w:bCs/>
          <w:kern w:val="36"/>
          <w:sz w:val="18"/>
          <w:szCs w:val="18"/>
          <w:lang w:val="en-ZA" w:eastAsia="en-ZA"/>
        </w:rPr>
        <w:t>issue befo</w:t>
      </w:r>
      <w:r w:rsidR="00F16BAA">
        <w:rPr>
          <w:rFonts w:ascii="Verdana" w:hAnsi="Verdana" w:cs="Arial"/>
          <w:bCs/>
          <w:kern w:val="36"/>
          <w:sz w:val="18"/>
          <w:szCs w:val="18"/>
          <w:lang w:val="en-ZA" w:eastAsia="en-ZA"/>
        </w:rPr>
        <w:t>re the court was whether s</w:t>
      </w:r>
      <w:r>
        <w:rPr>
          <w:rFonts w:ascii="Verdana" w:hAnsi="Verdana" w:cs="Arial"/>
          <w:bCs/>
          <w:kern w:val="36"/>
          <w:sz w:val="18"/>
          <w:szCs w:val="18"/>
          <w:lang w:val="en-ZA" w:eastAsia="en-ZA"/>
        </w:rPr>
        <w:t xml:space="preserve"> </w:t>
      </w:r>
      <w:proofErr w:type="gramStart"/>
      <w:r>
        <w:rPr>
          <w:rFonts w:ascii="Verdana" w:hAnsi="Verdana" w:cs="Arial"/>
          <w:bCs/>
          <w:kern w:val="36"/>
          <w:sz w:val="18"/>
          <w:szCs w:val="18"/>
          <w:lang w:val="en-ZA" w:eastAsia="en-ZA"/>
        </w:rPr>
        <w:t>8A(</w:t>
      </w:r>
      <w:proofErr w:type="gramEnd"/>
      <w:r>
        <w:rPr>
          <w:rFonts w:ascii="Verdana" w:hAnsi="Verdana" w:cs="Arial"/>
          <w:bCs/>
          <w:kern w:val="36"/>
          <w:sz w:val="18"/>
          <w:szCs w:val="18"/>
          <w:lang w:val="en-ZA" w:eastAsia="en-ZA"/>
        </w:rPr>
        <w:t>1)</w:t>
      </w:r>
      <w:r w:rsidRPr="00F16BAA">
        <w:rPr>
          <w:rFonts w:ascii="Verdana" w:hAnsi="Verdana" w:cs="Arial"/>
          <w:bCs/>
          <w:i/>
          <w:kern w:val="36"/>
          <w:sz w:val="18"/>
          <w:szCs w:val="18"/>
          <w:lang w:val="en-ZA" w:eastAsia="en-ZA"/>
        </w:rPr>
        <w:t>(a)</w:t>
      </w:r>
      <w:r w:rsidR="00ED24A9">
        <w:rPr>
          <w:rFonts w:ascii="Verdana" w:hAnsi="Verdana" w:cs="Arial"/>
          <w:bCs/>
          <w:kern w:val="36"/>
          <w:sz w:val="18"/>
          <w:szCs w:val="18"/>
          <w:lang w:val="en-ZA" w:eastAsia="en-ZA"/>
        </w:rPr>
        <w:t xml:space="preserve"> of the Income Tax Act 58 of 1962</w:t>
      </w:r>
      <w:r>
        <w:rPr>
          <w:rFonts w:ascii="Verdana" w:hAnsi="Verdana" w:cs="Arial"/>
          <w:bCs/>
          <w:kern w:val="36"/>
          <w:sz w:val="18"/>
          <w:szCs w:val="18"/>
          <w:lang w:val="en-ZA" w:eastAsia="en-ZA"/>
        </w:rPr>
        <w:t xml:space="preserve"> became applicable when the respondents paid the consideration for the shares and either received transfer or, if they elected to sell the shares, when they received the proceeds of the sale.</w:t>
      </w:r>
    </w:p>
    <w:p w:rsidR="00F16BAA" w:rsidRDefault="00F16BAA" w:rsidP="00052B91">
      <w:pPr>
        <w:jc w:val="both"/>
        <w:rPr>
          <w:rFonts w:ascii="Verdana" w:hAnsi="Verdana" w:cs="Arial"/>
          <w:b/>
          <w:bCs/>
          <w:kern w:val="36"/>
          <w:sz w:val="18"/>
          <w:szCs w:val="18"/>
          <w:lang w:val="en-ZA" w:eastAsia="en-ZA"/>
        </w:rPr>
      </w:pPr>
    </w:p>
    <w:p w:rsidR="00F16BAA" w:rsidRDefault="00F16BAA" w:rsidP="00052B91">
      <w:pPr>
        <w:jc w:val="both"/>
        <w:rPr>
          <w:rFonts w:ascii="Verdana" w:hAnsi="Verdana" w:cs="Arial"/>
          <w:b/>
          <w:bCs/>
          <w:kern w:val="36"/>
          <w:sz w:val="18"/>
          <w:szCs w:val="18"/>
          <w:lang w:val="en-ZA" w:eastAsia="en-ZA"/>
        </w:rPr>
      </w:pPr>
      <w:r>
        <w:rPr>
          <w:rFonts w:ascii="Verdana" w:hAnsi="Verdana" w:cs="Arial"/>
          <w:b/>
          <w:bCs/>
          <w:kern w:val="36"/>
          <w:sz w:val="18"/>
          <w:szCs w:val="18"/>
          <w:lang w:val="en-ZA" w:eastAsia="en-ZA"/>
        </w:rPr>
        <w:t>Decision</w:t>
      </w:r>
      <w:r w:rsidR="00503482">
        <w:rPr>
          <w:rFonts w:ascii="Verdana" w:hAnsi="Verdana" w:cs="Arial"/>
          <w:b/>
          <w:bCs/>
          <w:kern w:val="36"/>
          <w:sz w:val="18"/>
          <w:szCs w:val="18"/>
          <w:lang w:val="en-ZA" w:eastAsia="en-ZA"/>
        </w:rPr>
        <w:t xml:space="preserve"> </w:t>
      </w:r>
    </w:p>
    <w:p w:rsidR="00D31DF2" w:rsidRPr="00655261" w:rsidRDefault="00503482" w:rsidP="00052B91">
      <w:pPr>
        <w:jc w:val="both"/>
      </w:pPr>
      <w:r w:rsidRPr="00655261">
        <w:rPr>
          <w:rFonts w:ascii="Verdana" w:hAnsi="Verdana" w:cs="Arial"/>
          <w:bCs/>
          <w:kern w:val="36"/>
          <w:sz w:val="18"/>
          <w:szCs w:val="18"/>
          <w:lang w:val="en-ZA" w:eastAsia="en-ZA"/>
        </w:rPr>
        <w:t xml:space="preserve">The </w:t>
      </w:r>
      <w:r>
        <w:rPr>
          <w:rFonts w:ascii="Verdana" w:hAnsi="Verdana" w:cs="Arial"/>
          <w:bCs/>
          <w:kern w:val="36"/>
          <w:sz w:val="18"/>
          <w:szCs w:val="18"/>
          <w:lang w:val="en-ZA" w:eastAsia="en-ZA"/>
        </w:rPr>
        <w:t xml:space="preserve">court rejected the Commissioner’s argument </w:t>
      </w:r>
      <w:r w:rsidR="00C631F2">
        <w:rPr>
          <w:rFonts w:ascii="Verdana" w:hAnsi="Verdana" w:cs="Arial"/>
          <w:bCs/>
          <w:kern w:val="36"/>
          <w:sz w:val="18"/>
          <w:szCs w:val="18"/>
          <w:lang w:val="en-ZA" w:eastAsia="en-ZA"/>
        </w:rPr>
        <w:t>that the contracts in question had been subject to a condition</w:t>
      </w:r>
      <w:r w:rsidR="00ED24A9">
        <w:rPr>
          <w:rFonts w:ascii="Verdana" w:hAnsi="Verdana" w:cs="Arial"/>
          <w:bCs/>
          <w:kern w:val="36"/>
          <w:sz w:val="18"/>
          <w:szCs w:val="18"/>
          <w:lang w:val="en-ZA" w:eastAsia="en-ZA"/>
        </w:rPr>
        <w:t xml:space="preserve"> that the respondents remained employees within the group until the date of delivery of the shares</w:t>
      </w:r>
      <w:r w:rsidR="00C631F2">
        <w:rPr>
          <w:rFonts w:ascii="Verdana" w:hAnsi="Verdana" w:cs="Arial"/>
          <w:bCs/>
          <w:kern w:val="36"/>
          <w:sz w:val="18"/>
          <w:szCs w:val="18"/>
          <w:lang w:val="en-ZA" w:eastAsia="en-ZA"/>
        </w:rPr>
        <w:t xml:space="preserve">. The court also rejected the Commissioner’s argument </w:t>
      </w:r>
      <w:r>
        <w:rPr>
          <w:rFonts w:ascii="Verdana" w:hAnsi="Verdana" w:cs="Arial"/>
          <w:bCs/>
          <w:kern w:val="36"/>
          <w:sz w:val="18"/>
          <w:szCs w:val="18"/>
          <w:lang w:val="en-ZA" w:eastAsia="en-ZA"/>
        </w:rPr>
        <w:t>that there</w:t>
      </w:r>
      <w:r w:rsidR="00C631F2">
        <w:rPr>
          <w:rFonts w:ascii="Verdana" w:hAnsi="Verdana" w:cs="Arial"/>
          <w:bCs/>
          <w:kern w:val="36"/>
          <w:sz w:val="18"/>
          <w:szCs w:val="18"/>
          <w:lang w:val="en-ZA" w:eastAsia="en-ZA"/>
        </w:rPr>
        <w:t xml:space="preserve"> had been a simulation and </w:t>
      </w:r>
      <w:r>
        <w:rPr>
          <w:rFonts w:ascii="Verdana" w:hAnsi="Verdana" w:cs="Arial"/>
          <w:bCs/>
          <w:kern w:val="36"/>
          <w:sz w:val="18"/>
          <w:szCs w:val="18"/>
          <w:lang w:val="en-ZA" w:eastAsia="en-ZA"/>
        </w:rPr>
        <w:t>rejected the argument based on substance over form.</w:t>
      </w:r>
    </w:p>
    <w:p w:rsidR="00A35217" w:rsidRDefault="00A35217" w:rsidP="00052B91">
      <w:pPr>
        <w:jc w:val="both"/>
        <w:rPr>
          <w:rFonts w:ascii="Verdana" w:hAnsi="Verdana" w:cs="Arial"/>
          <w:bCs/>
          <w:kern w:val="36"/>
          <w:sz w:val="18"/>
          <w:szCs w:val="18"/>
          <w:lang w:val="en-ZA" w:eastAsia="en-ZA"/>
        </w:rPr>
      </w:pPr>
    </w:p>
    <w:p w:rsidR="00D05082" w:rsidRDefault="00D05082" w:rsidP="00052B91">
      <w:pPr>
        <w:jc w:val="both"/>
        <w:rPr>
          <w:rFonts w:ascii="Verdana" w:hAnsi="Verdana" w:cs="Arial"/>
          <w:bCs/>
          <w:kern w:val="36"/>
          <w:sz w:val="18"/>
          <w:szCs w:val="18"/>
          <w:lang w:val="en-ZA" w:eastAsia="en-ZA"/>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F2E83" w:rsidRDefault="002F2E83" w:rsidP="002E0B38">
      <w:pPr>
        <w:pStyle w:val="NormalWeb"/>
        <w:spacing w:before="0" w:beforeAutospacing="0" w:after="0" w:afterAutospacing="0" w:line="240" w:lineRule="atLeast"/>
        <w:jc w:val="center"/>
        <w:rPr>
          <w:rFonts w:ascii="Verdana" w:hAnsi="Verdana"/>
          <w:b/>
          <w:i/>
          <w:color w:val="008080"/>
        </w:rPr>
      </w:pPr>
    </w:p>
    <w:p w:rsidR="002E0B38" w:rsidRPr="00BF7DD7" w:rsidRDefault="00BF7DD7" w:rsidP="002E0B38">
      <w:pPr>
        <w:pStyle w:val="NormalWeb"/>
        <w:spacing w:before="0" w:beforeAutospacing="0" w:after="0" w:afterAutospacing="0" w:line="240" w:lineRule="atLeast"/>
        <w:jc w:val="center"/>
        <w:rPr>
          <w:rFonts w:ascii="Verdana" w:hAnsi="Verdana"/>
          <w:b/>
          <w:i/>
          <w:color w:val="008080"/>
        </w:rPr>
      </w:pPr>
      <w:r w:rsidRPr="00BF7DD7">
        <w:rPr>
          <w:rFonts w:ascii="Verdana" w:hAnsi="Verdana"/>
          <w:b/>
          <w:i/>
          <w:color w:val="008080"/>
        </w:rPr>
        <w:t>TAX COURT</w:t>
      </w:r>
    </w:p>
    <w:p w:rsidR="007B3E1F" w:rsidRPr="00306829" w:rsidRDefault="007B3E1F" w:rsidP="002E0B38">
      <w:pPr>
        <w:pStyle w:val="NormalWeb"/>
        <w:spacing w:before="0" w:beforeAutospacing="0" w:after="0" w:afterAutospacing="0" w:line="240" w:lineRule="atLeast"/>
        <w:jc w:val="center"/>
        <w:rPr>
          <w:rFonts w:ascii="Verdana" w:hAnsi="Verdana"/>
          <w:b/>
          <w:sz w:val="18"/>
          <w:szCs w:val="18"/>
        </w:rPr>
      </w:pPr>
    </w:p>
    <w:p w:rsidR="0057462F" w:rsidRDefault="001F13EB" w:rsidP="005366CE">
      <w:pPr>
        <w:overflowPunct/>
        <w:autoSpaceDE/>
        <w:autoSpaceDN/>
        <w:adjustRightInd/>
        <w:jc w:val="both"/>
        <w:textAlignment w:val="auto"/>
        <w:rPr>
          <w:rFonts w:ascii="Verdana" w:hAnsi="Verdana" w:cs="Arial"/>
          <w:b/>
          <w:bCs/>
          <w:i/>
          <w:kern w:val="36"/>
          <w:sz w:val="18"/>
          <w:szCs w:val="18"/>
          <w:lang w:val="en-ZA" w:eastAsia="en-ZA"/>
        </w:rPr>
      </w:pPr>
      <w:r w:rsidRPr="00655261">
        <w:rPr>
          <w:rFonts w:ascii="Verdana" w:hAnsi="Verdana" w:cs="Arial"/>
          <w:b/>
          <w:bCs/>
          <w:i/>
          <w:kern w:val="36"/>
          <w:sz w:val="18"/>
          <w:szCs w:val="18"/>
          <w:lang w:val="en-ZA" w:eastAsia="en-ZA"/>
        </w:rPr>
        <w:t xml:space="preserve">ITC 1873 (2015) </w:t>
      </w:r>
      <w:r w:rsidRPr="00BF7DD7">
        <w:rPr>
          <w:rFonts w:ascii="Verdana" w:hAnsi="Verdana" w:cs="Arial"/>
          <w:bCs/>
          <w:kern w:val="36"/>
          <w:sz w:val="18"/>
          <w:szCs w:val="18"/>
          <w:lang w:val="en-ZA" w:eastAsia="en-ZA"/>
        </w:rPr>
        <w:t>77 SATC 93</w:t>
      </w:r>
    </w:p>
    <w:p w:rsidR="00BF7DD7" w:rsidRDefault="00BF7DD7" w:rsidP="005366CE">
      <w:pPr>
        <w:overflowPunct/>
        <w:autoSpaceDE/>
        <w:autoSpaceDN/>
        <w:adjustRightInd/>
        <w:jc w:val="both"/>
        <w:textAlignment w:val="auto"/>
        <w:rPr>
          <w:rFonts w:ascii="Verdana" w:hAnsi="Verdana" w:cs="Arial"/>
          <w:b/>
          <w:bCs/>
          <w:kern w:val="36"/>
          <w:sz w:val="18"/>
          <w:szCs w:val="18"/>
          <w:lang w:val="en-ZA" w:eastAsia="en-ZA"/>
        </w:rPr>
      </w:pPr>
    </w:p>
    <w:p w:rsidR="00BF7DD7" w:rsidRDefault="00BF7DD7" w:rsidP="005366CE">
      <w:pPr>
        <w:overflowPunct/>
        <w:autoSpaceDE/>
        <w:autoSpaceDN/>
        <w:adjustRightInd/>
        <w:jc w:val="both"/>
        <w:textAlignment w:val="auto"/>
        <w:rPr>
          <w:rFonts w:ascii="Verdana" w:hAnsi="Verdana" w:cs="Arial"/>
          <w:b/>
          <w:bCs/>
          <w:kern w:val="36"/>
          <w:sz w:val="18"/>
          <w:szCs w:val="18"/>
          <w:lang w:val="en-ZA" w:eastAsia="en-ZA"/>
        </w:rPr>
      </w:pPr>
      <w:r>
        <w:rPr>
          <w:rFonts w:ascii="Verdana" w:hAnsi="Verdana" w:cs="Arial"/>
          <w:b/>
          <w:bCs/>
          <w:kern w:val="36"/>
          <w:sz w:val="18"/>
          <w:szCs w:val="18"/>
          <w:lang w:val="en-ZA" w:eastAsia="en-ZA"/>
        </w:rPr>
        <w:lastRenderedPageBreak/>
        <w:t>Background</w:t>
      </w:r>
      <w:r w:rsidR="0057462F">
        <w:rPr>
          <w:rFonts w:ascii="Verdana" w:hAnsi="Verdana" w:cs="Arial"/>
          <w:b/>
          <w:bCs/>
          <w:kern w:val="36"/>
          <w:sz w:val="18"/>
          <w:szCs w:val="18"/>
          <w:lang w:val="en-ZA" w:eastAsia="en-ZA"/>
        </w:rPr>
        <w:t xml:space="preserve"> </w:t>
      </w:r>
    </w:p>
    <w:p w:rsidR="0057462F" w:rsidRDefault="0057462F" w:rsidP="005366CE">
      <w:pPr>
        <w:overflowPunct/>
        <w:autoSpaceDE/>
        <w:autoSpaceDN/>
        <w:adjustRightInd/>
        <w:jc w:val="both"/>
        <w:textAlignment w:val="auto"/>
        <w:rPr>
          <w:rFonts w:ascii="Verdana" w:hAnsi="Verdana" w:cs="Arial"/>
          <w:bCs/>
          <w:kern w:val="36"/>
          <w:sz w:val="18"/>
          <w:szCs w:val="18"/>
          <w:lang w:val="en-ZA" w:eastAsia="en-ZA"/>
        </w:rPr>
      </w:pPr>
      <w:r w:rsidRPr="00655261">
        <w:rPr>
          <w:rFonts w:ascii="Verdana" w:hAnsi="Verdana" w:cs="Arial"/>
          <w:bCs/>
          <w:kern w:val="36"/>
          <w:sz w:val="18"/>
          <w:szCs w:val="18"/>
          <w:lang w:val="en-ZA" w:eastAsia="en-ZA"/>
        </w:rPr>
        <w:t>The taxpayer</w:t>
      </w:r>
      <w:r>
        <w:rPr>
          <w:rFonts w:ascii="Verdana" w:hAnsi="Verdana" w:cs="Arial"/>
          <w:bCs/>
          <w:kern w:val="36"/>
          <w:sz w:val="18"/>
          <w:szCs w:val="18"/>
          <w:lang w:val="en-ZA" w:eastAsia="en-ZA"/>
        </w:rPr>
        <w:t xml:space="preserve"> was </w:t>
      </w:r>
      <w:r w:rsidRPr="00655261">
        <w:rPr>
          <w:rFonts w:ascii="Verdana" w:hAnsi="Verdana" w:cs="Arial"/>
          <w:bCs/>
          <w:kern w:val="36"/>
          <w:sz w:val="18"/>
          <w:szCs w:val="18"/>
          <w:lang w:val="en-ZA" w:eastAsia="en-ZA"/>
        </w:rPr>
        <w:t xml:space="preserve">a wine farmer and a member of </w:t>
      </w:r>
      <w:proofErr w:type="gramStart"/>
      <w:r w:rsidRPr="00655261">
        <w:rPr>
          <w:rFonts w:ascii="Verdana" w:hAnsi="Verdana" w:cs="Arial"/>
          <w:bCs/>
          <w:kern w:val="36"/>
          <w:sz w:val="18"/>
          <w:szCs w:val="18"/>
          <w:lang w:val="en-ZA" w:eastAsia="en-ZA"/>
        </w:rPr>
        <w:t xml:space="preserve">a </w:t>
      </w:r>
      <w:r w:rsidR="00BF583D">
        <w:rPr>
          <w:rFonts w:ascii="Verdana" w:hAnsi="Verdana" w:cs="Arial"/>
          <w:bCs/>
          <w:kern w:val="36"/>
          <w:sz w:val="18"/>
          <w:szCs w:val="18"/>
          <w:lang w:val="en-ZA" w:eastAsia="en-ZA"/>
        </w:rPr>
        <w:t>farming</w:t>
      </w:r>
      <w:proofErr w:type="gramEnd"/>
      <w:r w:rsidR="00BF583D">
        <w:rPr>
          <w:rFonts w:ascii="Verdana" w:hAnsi="Verdana" w:cs="Arial"/>
          <w:bCs/>
          <w:kern w:val="36"/>
          <w:sz w:val="18"/>
          <w:szCs w:val="18"/>
          <w:lang w:val="en-ZA" w:eastAsia="en-ZA"/>
        </w:rPr>
        <w:t xml:space="preserve"> </w:t>
      </w:r>
      <w:r w:rsidRPr="00655261">
        <w:rPr>
          <w:rFonts w:ascii="Verdana" w:hAnsi="Verdana" w:cs="Arial"/>
          <w:bCs/>
          <w:kern w:val="36"/>
          <w:sz w:val="18"/>
          <w:szCs w:val="18"/>
          <w:lang w:val="en-ZA" w:eastAsia="en-ZA"/>
        </w:rPr>
        <w:t>co-operative</w:t>
      </w:r>
      <w:r>
        <w:rPr>
          <w:rFonts w:ascii="Verdana" w:hAnsi="Verdana" w:cs="Arial"/>
          <w:bCs/>
          <w:kern w:val="36"/>
          <w:sz w:val="18"/>
          <w:szCs w:val="18"/>
          <w:lang w:val="en-ZA" w:eastAsia="en-ZA"/>
        </w:rPr>
        <w:t>.</w:t>
      </w:r>
    </w:p>
    <w:p w:rsidR="00BF7DD7" w:rsidRDefault="00BF7DD7" w:rsidP="005366CE">
      <w:pPr>
        <w:overflowPunct/>
        <w:autoSpaceDE/>
        <w:autoSpaceDN/>
        <w:adjustRightInd/>
        <w:jc w:val="both"/>
        <w:textAlignment w:val="auto"/>
        <w:rPr>
          <w:rFonts w:ascii="Verdana" w:hAnsi="Verdana" w:cs="Arial"/>
          <w:b/>
          <w:bCs/>
          <w:kern w:val="36"/>
          <w:sz w:val="18"/>
          <w:szCs w:val="18"/>
          <w:lang w:val="en-ZA" w:eastAsia="en-ZA"/>
        </w:rPr>
      </w:pPr>
    </w:p>
    <w:p w:rsidR="00BF7DD7" w:rsidRDefault="00BF7DD7" w:rsidP="005366CE">
      <w:pPr>
        <w:overflowPunct/>
        <w:autoSpaceDE/>
        <w:autoSpaceDN/>
        <w:adjustRightInd/>
        <w:jc w:val="both"/>
        <w:textAlignment w:val="auto"/>
        <w:rPr>
          <w:rFonts w:ascii="Verdana" w:hAnsi="Verdana" w:cs="Arial"/>
          <w:b/>
          <w:bCs/>
          <w:kern w:val="36"/>
          <w:sz w:val="18"/>
          <w:szCs w:val="18"/>
          <w:lang w:val="en-ZA" w:eastAsia="en-ZA"/>
        </w:rPr>
      </w:pPr>
      <w:r>
        <w:rPr>
          <w:rFonts w:ascii="Verdana" w:hAnsi="Verdana" w:cs="Arial"/>
          <w:b/>
          <w:bCs/>
          <w:kern w:val="36"/>
          <w:sz w:val="18"/>
          <w:szCs w:val="18"/>
          <w:lang w:val="en-ZA" w:eastAsia="en-ZA"/>
        </w:rPr>
        <w:t>Facts</w:t>
      </w:r>
      <w:r w:rsidR="0057462F">
        <w:rPr>
          <w:rFonts w:ascii="Verdana" w:hAnsi="Verdana" w:cs="Arial"/>
          <w:b/>
          <w:bCs/>
          <w:kern w:val="36"/>
          <w:sz w:val="18"/>
          <w:szCs w:val="18"/>
          <w:lang w:val="en-ZA" w:eastAsia="en-ZA"/>
        </w:rPr>
        <w:t xml:space="preserve"> </w:t>
      </w:r>
    </w:p>
    <w:p w:rsidR="0057462F" w:rsidRDefault="0057462F" w:rsidP="005366CE">
      <w:pPr>
        <w:overflowPunct/>
        <w:autoSpaceDE/>
        <w:autoSpaceDN/>
        <w:adjustRightInd/>
        <w:jc w:val="both"/>
        <w:textAlignment w:val="auto"/>
        <w:rPr>
          <w:rFonts w:ascii="Verdana" w:hAnsi="Verdana" w:cs="Arial"/>
          <w:bCs/>
          <w:kern w:val="36"/>
          <w:sz w:val="18"/>
          <w:szCs w:val="18"/>
          <w:lang w:val="en-ZA" w:eastAsia="en-ZA"/>
        </w:rPr>
      </w:pPr>
      <w:r>
        <w:rPr>
          <w:rFonts w:ascii="Verdana" w:hAnsi="Verdana" w:cs="Arial"/>
          <w:bCs/>
          <w:kern w:val="36"/>
          <w:sz w:val="18"/>
          <w:szCs w:val="18"/>
          <w:lang w:val="en-ZA" w:eastAsia="en-ZA"/>
        </w:rPr>
        <w:t>The taxpayer</w:t>
      </w:r>
      <w:r w:rsidR="00BF583D" w:rsidRPr="00655261">
        <w:rPr>
          <w:rFonts w:ascii="Verdana" w:hAnsi="Verdana" w:cs="Arial"/>
          <w:bCs/>
          <w:kern w:val="36"/>
          <w:sz w:val="18"/>
          <w:szCs w:val="18"/>
          <w:lang w:val="en-ZA" w:eastAsia="en-ZA"/>
        </w:rPr>
        <w:t xml:space="preserve"> had delivered his grape harvest</w:t>
      </w:r>
      <w:r w:rsidRPr="00655261">
        <w:rPr>
          <w:rFonts w:ascii="Verdana" w:hAnsi="Verdana" w:cs="Arial"/>
          <w:bCs/>
          <w:kern w:val="36"/>
          <w:sz w:val="18"/>
          <w:szCs w:val="18"/>
          <w:lang w:val="en-ZA" w:eastAsia="en-ZA"/>
        </w:rPr>
        <w:t xml:space="preserve"> to the co-operative during the tax year in issue where they had been </w:t>
      </w:r>
      <w:r>
        <w:rPr>
          <w:rFonts w:ascii="Verdana" w:hAnsi="Verdana" w:cs="Arial"/>
          <w:bCs/>
          <w:kern w:val="36"/>
          <w:sz w:val="18"/>
          <w:szCs w:val="18"/>
          <w:lang w:val="en-ZA" w:eastAsia="en-ZA"/>
        </w:rPr>
        <w:t>‘</w:t>
      </w:r>
      <w:r w:rsidRPr="00655261">
        <w:rPr>
          <w:rFonts w:ascii="Verdana" w:hAnsi="Verdana" w:cs="Arial"/>
          <w:bCs/>
          <w:kern w:val="36"/>
          <w:sz w:val="18"/>
          <w:szCs w:val="18"/>
          <w:lang w:val="en-ZA" w:eastAsia="en-ZA"/>
        </w:rPr>
        <w:t>pooled</w:t>
      </w:r>
      <w:r>
        <w:rPr>
          <w:rFonts w:ascii="Verdana" w:hAnsi="Verdana" w:cs="Arial"/>
          <w:bCs/>
          <w:kern w:val="36"/>
          <w:sz w:val="18"/>
          <w:szCs w:val="18"/>
          <w:lang w:val="en-ZA" w:eastAsia="en-ZA"/>
        </w:rPr>
        <w:t>’</w:t>
      </w:r>
      <w:r w:rsidR="00A44009">
        <w:rPr>
          <w:rFonts w:ascii="Verdana" w:hAnsi="Verdana" w:cs="Arial"/>
          <w:bCs/>
          <w:kern w:val="36"/>
          <w:sz w:val="18"/>
          <w:szCs w:val="18"/>
          <w:lang w:val="en-ZA" w:eastAsia="en-ZA"/>
        </w:rPr>
        <w:t xml:space="preserve">, that is to say, </w:t>
      </w:r>
      <w:r w:rsidRPr="00655261">
        <w:rPr>
          <w:rFonts w:ascii="Verdana" w:hAnsi="Verdana" w:cs="Arial"/>
          <w:bCs/>
          <w:kern w:val="36"/>
          <w:sz w:val="18"/>
          <w:szCs w:val="18"/>
          <w:lang w:val="en-ZA" w:eastAsia="en-ZA"/>
        </w:rPr>
        <w:t>crushed and mixed with grapes of a similar type delivered by other members</w:t>
      </w:r>
      <w:r w:rsidR="00BF583D">
        <w:rPr>
          <w:rFonts w:ascii="Verdana" w:hAnsi="Verdana" w:cs="Arial"/>
          <w:bCs/>
          <w:kern w:val="36"/>
          <w:sz w:val="18"/>
          <w:szCs w:val="18"/>
          <w:lang w:val="en-ZA" w:eastAsia="en-ZA"/>
        </w:rPr>
        <w:t xml:space="preserve"> of the co-operative</w:t>
      </w:r>
      <w:r w:rsidRPr="00655261">
        <w:rPr>
          <w:rFonts w:ascii="Verdana" w:hAnsi="Verdana" w:cs="Arial"/>
          <w:bCs/>
          <w:kern w:val="36"/>
          <w:sz w:val="18"/>
          <w:szCs w:val="18"/>
          <w:lang w:val="en-ZA" w:eastAsia="en-ZA"/>
        </w:rPr>
        <w:t>.</w:t>
      </w:r>
    </w:p>
    <w:p w:rsidR="00BF7DD7" w:rsidRDefault="00BF7DD7" w:rsidP="005366CE">
      <w:pPr>
        <w:overflowPunct/>
        <w:autoSpaceDE/>
        <w:autoSpaceDN/>
        <w:adjustRightInd/>
        <w:jc w:val="both"/>
        <w:textAlignment w:val="auto"/>
        <w:rPr>
          <w:rFonts w:ascii="Verdana" w:hAnsi="Verdana" w:cs="Arial"/>
          <w:b/>
          <w:bCs/>
          <w:kern w:val="36"/>
          <w:sz w:val="18"/>
          <w:szCs w:val="18"/>
          <w:lang w:val="en-ZA" w:eastAsia="en-ZA"/>
        </w:rPr>
      </w:pPr>
    </w:p>
    <w:p w:rsidR="00BF7DD7" w:rsidRDefault="00BF7DD7" w:rsidP="005366CE">
      <w:pPr>
        <w:overflowPunct/>
        <w:autoSpaceDE/>
        <w:autoSpaceDN/>
        <w:adjustRightInd/>
        <w:jc w:val="both"/>
        <w:textAlignment w:val="auto"/>
        <w:rPr>
          <w:rFonts w:ascii="Verdana" w:hAnsi="Verdana" w:cs="Arial"/>
          <w:bCs/>
          <w:kern w:val="36"/>
          <w:sz w:val="18"/>
          <w:szCs w:val="18"/>
          <w:lang w:val="en-ZA" w:eastAsia="en-ZA"/>
        </w:rPr>
      </w:pPr>
      <w:r>
        <w:rPr>
          <w:rFonts w:ascii="Verdana" w:hAnsi="Verdana" w:cs="Arial"/>
          <w:b/>
          <w:bCs/>
          <w:kern w:val="36"/>
          <w:sz w:val="18"/>
          <w:szCs w:val="18"/>
          <w:lang w:val="en-ZA" w:eastAsia="en-ZA"/>
        </w:rPr>
        <w:t>Issue</w:t>
      </w:r>
      <w:r w:rsidR="0057462F">
        <w:rPr>
          <w:rFonts w:ascii="Verdana" w:hAnsi="Verdana" w:cs="Arial"/>
          <w:bCs/>
          <w:kern w:val="36"/>
          <w:sz w:val="18"/>
          <w:szCs w:val="18"/>
          <w:lang w:val="en-ZA" w:eastAsia="en-ZA"/>
        </w:rPr>
        <w:t xml:space="preserve"> </w:t>
      </w:r>
    </w:p>
    <w:p w:rsidR="0057462F" w:rsidRDefault="0057462F" w:rsidP="005366CE">
      <w:pPr>
        <w:overflowPunct/>
        <w:autoSpaceDE/>
        <w:autoSpaceDN/>
        <w:adjustRightInd/>
        <w:jc w:val="both"/>
        <w:textAlignment w:val="auto"/>
        <w:rPr>
          <w:rFonts w:ascii="Verdana" w:hAnsi="Verdana" w:cs="Arial"/>
          <w:bCs/>
          <w:kern w:val="36"/>
          <w:sz w:val="18"/>
          <w:szCs w:val="18"/>
          <w:lang w:val="en-ZA" w:eastAsia="en-ZA"/>
        </w:rPr>
      </w:pPr>
      <w:r>
        <w:rPr>
          <w:rFonts w:ascii="Verdana" w:hAnsi="Verdana" w:cs="Arial"/>
          <w:bCs/>
          <w:kern w:val="36"/>
          <w:sz w:val="18"/>
          <w:szCs w:val="18"/>
          <w:lang w:val="en-ZA" w:eastAsia="en-ZA"/>
        </w:rPr>
        <w:t xml:space="preserve">The issue for determination by the court was whether, having delivered his grapes to the co-operative where they had been so ‘pooled’, </w:t>
      </w:r>
      <w:r w:rsidR="00A44009">
        <w:rPr>
          <w:rFonts w:ascii="Verdana" w:hAnsi="Verdana" w:cs="Arial"/>
          <w:bCs/>
          <w:kern w:val="36"/>
          <w:sz w:val="18"/>
          <w:szCs w:val="18"/>
          <w:lang w:val="en-ZA" w:eastAsia="en-ZA"/>
        </w:rPr>
        <w:t>t</w:t>
      </w:r>
      <w:r>
        <w:rPr>
          <w:rFonts w:ascii="Verdana" w:hAnsi="Verdana" w:cs="Arial"/>
          <w:bCs/>
          <w:kern w:val="36"/>
          <w:sz w:val="18"/>
          <w:szCs w:val="18"/>
          <w:lang w:val="en-ZA" w:eastAsia="en-ZA"/>
        </w:rPr>
        <w:t xml:space="preserve">he </w:t>
      </w:r>
      <w:r w:rsidR="00A44009">
        <w:rPr>
          <w:rFonts w:ascii="Verdana" w:hAnsi="Verdana" w:cs="Arial"/>
          <w:bCs/>
          <w:kern w:val="36"/>
          <w:sz w:val="18"/>
          <w:szCs w:val="18"/>
          <w:lang w:val="en-ZA" w:eastAsia="en-ZA"/>
        </w:rPr>
        <w:t xml:space="preserve">taxpayer </w:t>
      </w:r>
      <w:r>
        <w:rPr>
          <w:rFonts w:ascii="Verdana" w:hAnsi="Verdana" w:cs="Arial"/>
          <w:bCs/>
          <w:kern w:val="36"/>
          <w:sz w:val="18"/>
          <w:szCs w:val="18"/>
          <w:lang w:val="en-ZA" w:eastAsia="en-ZA"/>
        </w:rPr>
        <w:t>could be said to have ‘produce held and not disposed of’ which would then be brought into account as</w:t>
      </w:r>
      <w:r w:rsidR="00BF583D">
        <w:rPr>
          <w:rFonts w:ascii="Verdana" w:hAnsi="Verdana" w:cs="Arial"/>
          <w:bCs/>
          <w:kern w:val="36"/>
          <w:sz w:val="18"/>
          <w:szCs w:val="18"/>
          <w:lang w:val="en-ZA" w:eastAsia="en-ZA"/>
        </w:rPr>
        <w:t xml:space="preserve"> his</w:t>
      </w:r>
      <w:r>
        <w:rPr>
          <w:rFonts w:ascii="Verdana" w:hAnsi="Verdana" w:cs="Arial"/>
          <w:bCs/>
          <w:kern w:val="36"/>
          <w:sz w:val="18"/>
          <w:szCs w:val="18"/>
          <w:lang w:val="en-ZA" w:eastAsia="en-ZA"/>
        </w:rPr>
        <w:t xml:space="preserve"> closing stock.</w:t>
      </w:r>
    </w:p>
    <w:p w:rsidR="00BF7DD7" w:rsidRDefault="00BF7DD7" w:rsidP="005366CE">
      <w:pPr>
        <w:overflowPunct/>
        <w:autoSpaceDE/>
        <w:autoSpaceDN/>
        <w:adjustRightInd/>
        <w:jc w:val="both"/>
        <w:textAlignment w:val="auto"/>
        <w:rPr>
          <w:rFonts w:ascii="Verdana" w:hAnsi="Verdana" w:cs="Arial"/>
          <w:b/>
          <w:bCs/>
          <w:kern w:val="36"/>
          <w:sz w:val="18"/>
          <w:szCs w:val="18"/>
          <w:lang w:val="en-ZA" w:eastAsia="en-ZA"/>
        </w:rPr>
      </w:pPr>
    </w:p>
    <w:p w:rsidR="00BF7DD7" w:rsidRDefault="00BF7DD7" w:rsidP="005366CE">
      <w:pPr>
        <w:overflowPunct/>
        <w:autoSpaceDE/>
        <w:autoSpaceDN/>
        <w:adjustRightInd/>
        <w:jc w:val="both"/>
        <w:textAlignment w:val="auto"/>
        <w:rPr>
          <w:rFonts w:ascii="Verdana" w:hAnsi="Verdana" w:cs="Arial"/>
          <w:b/>
          <w:bCs/>
          <w:kern w:val="36"/>
          <w:sz w:val="18"/>
          <w:szCs w:val="18"/>
          <w:lang w:val="en-ZA" w:eastAsia="en-ZA"/>
        </w:rPr>
      </w:pPr>
      <w:r>
        <w:rPr>
          <w:rFonts w:ascii="Verdana" w:hAnsi="Verdana" w:cs="Arial"/>
          <w:b/>
          <w:bCs/>
          <w:kern w:val="36"/>
          <w:sz w:val="18"/>
          <w:szCs w:val="18"/>
          <w:lang w:val="en-ZA" w:eastAsia="en-ZA"/>
        </w:rPr>
        <w:t>Decision</w:t>
      </w:r>
      <w:r w:rsidR="00BF583D">
        <w:rPr>
          <w:rFonts w:ascii="Verdana" w:hAnsi="Verdana" w:cs="Arial"/>
          <w:b/>
          <w:bCs/>
          <w:kern w:val="36"/>
          <w:sz w:val="18"/>
          <w:szCs w:val="18"/>
          <w:lang w:val="en-ZA" w:eastAsia="en-ZA"/>
        </w:rPr>
        <w:t xml:space="preserve"> </w:t>
      </w:r>
    </w:p>
    <w:p w:rsidR="001F13EB" w:rsidRPr="00655261" w:rsidRDefault="00BF583D" w:rsidP="005366CE">
      <w:pPr>
        <w:overflowPunct/>
        <w:autoSpaceDE/>
        <w:autoSpaceDN/>
        <w:adjustRightInd/>
        <w:jc w:val="both"/>
        <w:textAlignment w:val="auto"/>
        <w:rPr>
          <w:rFonts w:ascii="Verdana" w:hAnsi="Verdana" w:cs="Arial"/>
          <w:bCs/>
          <w:kern w:val="36"/>
          <w:sz w:val="18"/>
          <w:szCs w:val="18"/>
          <w:lang w:val="en-ZA" w:eastAsia="en-ZA"/>
        </w:rPr>
      </w:pPr>
      <w:r w:rsidRPr="00655261">
        <w:rPr>
          <w:rFonts w:ascii="Verdana" w:hAnsi="Verdana" w:cs="Arial"/>
          <w:bCs/>
          <w:kern w:val="36"/>
          <w:sz w:val="18"/>
          <w:szCs w:val="18"/>
          <w:lang w:val="en-ZA" w:eastAsia="en-ZA"/>
        </w:rPr>
        <w:t xml:space="preserve">It was held that, after the taxpayer had delivered the grapes to the co-operative, they remained his property after they had been crushed and pressed and that he did not dispose of them until the end of the tax year in which the grapes were finally processed into wine and sold. </w:t>
      </w:r>
      <w:r>
        <w:rPr>
          <w:rFonts w:ascii="Verdana" w:hAnsi="Verdana" w:cs="Arial"/>
          <w:bCs/>
          <w:kern w:val="36"/>
          <w:sz w:val="18"/>
          <w:szCs w:val="18"/>
          <w:lang w:val="en-ZA" w:eastAsia="en-ZA"/>
        </w:rPr>
        <w:t>Consequently, the grapes delivered by the taxpayer to the co-operative were closing stock of his farming operations and should have been reflected as such in his income tax return.</w:t>
      </w:r>
    </w:p>
    <w:p w:rsidR="001F13EB" w:rsidRDefault="001F13EB" w:rsidP="005366CE">
      <w:pPr>
        <w:overflowPunct/>
        <w:autoSpaceDE/>
        <w:autoSpaceDN/>
        <w:adjustRightInd/>
        <w:jc w:val="both"/>
        <w:textAlignment w:val="auto"/>
        <w:rPr>
          <w:rFonts w:ascii="Verdana" w:hAnsi="Verdana"/>
          <w:color w:val="008080"/>
          <w:sz w:val="24"/>
          <w:szCs w:val="24"/>
          <w:lang w:val="en-ZA" w:eastAsia="en-ZA"/>
        </w:rPr>
      </w:pPr>
    </w:p>
    <w:p w:rsidR="006A5C6C" w:rsidRPr="00655261" w:rsidRDefault="006A5C6C" w:rsidP="005366CE">
      <w:pPr>
        <w:overflowPunct/>
        <w:autoSpaceDE/>
        <w:autoSpaceDN/>
        <w:adjustRightInd/>
        <w:jc w:val="both"/>
        <w:textAlignment w:val="auto"/>
        <w:rPr>
          <w:rFonts w:ascii="Verdana" w:hAnsi="Verdana"/>
          <w:color w:val="008080"/>
          <w:sz w:val="24"/>
          <w:szCs w:val="24"/>
          <w:lang w:val="en-ZA" w:eastAsia="en-ZA"/>
        </w:rPr>
      </w:pPr>
    </w:p>
    <w:p w:rsidR="002E0B38" w:rsidRPr="00BF7DD7" w:rsidRDefault="00BF7DD7" w:rsidP="002E0B38">
      <w:pPr>
        <w:pStyle w:val="NormalWeb"/>
        <w:spacing w:before="0" w:beforeAutospacing="0" w:after="0" w:afterAutospacing="0" w:line="240" w:lineRule="atLeast"/>
        <w:jc w:val="center"/>
        <w:rPr>
          <w:rFonts w:ascii="Verdana" w:hAnsi="Verdana"/>
          <w:b/>
          <w:i/>
          <w:color w:val="008080"/>
        </w:rPr>
      </w:pPr>
      <w:r w:rsidRPr="00BF7DD7">
        <w:rPr>
          <w:rFonts w:ascii="Verdana" w:hAnsi="Verdana"/>
          <w:b/>
          <w:i/>
          <w:color w:val="008080"/>
        </w:rPr>
        <w:t>FOREIGN COURTS</w:t>
      </w:r>
    </w:p>
    <w:p w:rsidR="001F13EB" w:rsidRDefault="001F13EB" w:rsidP="008F1FDE">
      <w:pPr>
        <w:jc w:val="both"/>
        <w:rPr>
          <w:rFonts w:ascii="Verdana" w:hAnsi="Verdana" w:cs="Arial"/>
          <w:b/>
          <w:bCs/>
          <w:i/>
          <w:kern w:val="36"/>
          <w:sz w:val="18"/>
          <w:szCs w:val="18"/>
          <w:lang w:val="en-ZA" w:eastAsia="en-ZA"/>
        </w:rPr>
      </w:pPr>
    </w:p>
    <w:p w:rsidR="00ED24A9" w:rsidRDefault="00ED24A9" w:rsidP="008F1FDE">
      <w:pPr>
        <w:jc w:val="both"/>
        <w:rPr>
          <w:rFonts w:ascii="Verdana" w:hAnsi="Verdana" w:cs="Arial"/>
          <w:b/>
          <w:bCs/>
          <w:kern w:val="36"/>
          <w:sz w:val="18"/>
          <w:szCs w:val="18"/>
          <w:lang w:val="en-ZA" w:eastAsia="en-ZA"/>
        </w:rPr>
      </w:pPr>
      <w:r w:rsidRPr="00655261">
        <w:rPr>
          <w:rFonts w:ascii="Verdana" w:hAnsi="Verdana" w:cs="Arial"/>
          <w:b/>
          <w:bCs/>
          <w:i/>
          <w:kern w:val="36"/>
          <w:sz w:val="18"/>
          <w:szCs w:val="18"/>
          <w:lang w:val="en-ZA" w:eastAsia="en-ZA"/>
        </w:rPr>
        <w:t>Z Co (Pvt) Ltd v Zimbabwe Revenue Authority</w:t>
      </w:r>
      <w:r>
        <w:rPr>
          <w:rFonts w:ascii="Verdana" w:hAnsi="Verdana" w:cs="Arial"/>
          <w:b/>
          <w:bCs/>
          <w:i/>
          <w:kern w:val="36"/>
          <w:sz w:val="18"/>
          <w:szCs w:val="18"/>
          <w:lang w:val="en-ZA" w:eastAsia="en-ZA"/>
        </w:rPr>
        <w:t xml:space="preserve"> </w:t>
      </w:r>
      <w:r>
        <w:rPr>
          <w:rFonts w:ascii="Verdana" w:hAnsi="Verdana" w:cs="Arial"/>
          <w:b/>
          <w:bCs/>
          <w:kern w:val="36"/>
          <w:sz w:val="18"/>
          <w:szCs w:val="18"/>
          <w:lang w:val="en-ZA" w:eastAsia="en-ZA"/>
        </w:rPr>
        <w:t>(2015) 77 SATC 82 (High Court of Zimbabwe)</w:t>
      </w:r>
    </w:p>
    <w:p w:rsidR="00ED24A9" w:rsidRDefault="00ED24A9" w:rsidP="008F1FDE">
      <w:pPr>
        <w:jc w:val="both"/>
        <w:rPr>
          <w:rFonts w:ascii="Verdana" w:hAnsi="Verdana" w:cs="Arial"/>
          <w:b/>
          <w:bCs/>
          <w:kern w:val="36"/>
          <w:sz w:val="18"/>
          <w:szCs w:val="18"/>
          <w:lang w:val="en-ZA" w:eastAsia="en-ZA"/>
        </w:rPr>
      </w:pPr>
    </w:p>
    <w:p w:rsidR="00BF7DD7" w:rsidRDefault="00913B7F" w:rsidP="008F1FDE">
      <w:pPr>
        <w:jc w:val="both"/>
        <w:rPr>
          <w:rFonts w:ascii="Verdana" w:hAnsi="Verdana" w:cs="Arial"/>
          <w:bCs/>
          <w:kern w:val="36"/>
          <w:sz w:val="18"/>
          <w:szCs w:val="18"/>
          <w:lang w:val="en-ZA" w:eastAsia="en-ZA"/>
        </w:rPr>
      </w:pPr>
      <w:r w:rsidRPr="00655261">
        <w:rPr>
          <w:rFonts w:ascii="Verdana" w:hAnsi="Verdana" w:cs="Arial"/>
          <w:b/>
          <w:bCs/>
          <w:kern w:val="36"/>
          <w:sz w:val="18"/>
          <w:szCs w:val="18"/>
          <w:lang w:val="en-ZA" w:eastAsia="en-ZA"/>
        </w:rPr>
        <w:t>Background</w:t>
      </w:r>
      <w:r>
        <w:rPr>
          <w:rFonts w:ascii="Verdana" w:hAnsi="Verdana" w:cs="Arial"/>
          <w:bCs/>
          <w:kern w:val="36"/>
          <w:sz w:val="18"/>
          <w:szCs w:val="18"/>
          <w:lang w:val="en-ZA" w:eastAsia="en-ZA"/>
        </w:rPr>
        <w:t xml:space="preserve"> </w:t>
      </w:r>
    </w:p>
    <w:p w:rsidR="006559FB" w:rsidRDefault="00913B7F" w:rsidP="008F1FDE">
      <w:pPr>
        <w:jc w:val="both"/>
        <w:rPr>
          <w:rFonts w:ascii="Verdana" w:hAnsi="Verdana" w:cs="Arial"/>
          <w:bCs/>
          <w:kern w:val="36"/>
          <w:sz w:val="18"/>
          <w:szCs w:val="18"/>
          <w:lang w:val="en-ZA" w:eastAsia="en-ZA"/>
        </w:rPr>
      </w:pPr>
      <w:r>
        <w:rPr>
          <w:rFonts w:ascii="Verdana" w:hAnsi="Verdana" w:cs="Arial"/>
          <w:bCs/>
          <w:kern w:val="36"/>
          <w:sz w:val="18"/>
          <w:szCs w:val="18"/>
          <w:lang w:val="en-ZA" w:eastAsia="en-ZA"/>
        </w:rPr>
        <w:t>The appellant company was registered with the Tobacco Industry and Marketing Board as a tobacco merchant</w:t>
      </w:r>
      <w:r w:rsidR="006559FB">
        <w:rPr>
          <w:rFonts w:ascii="Verdana" w:hAnsi="Verdana" w:cs="Arial"/>
          <w:bCs/>
          <w:kern w:val="36"/>
          <w:sz w:val="18"/>
          <w:szCs w:val="18"/>
          <w:lang w:val="en-ZA" w:eastAsia="en-ZA"/>
        </w:rPr>
        <w:t>. The appellant</w:t>
      </w:r>
      <w:r>
        <w:rPr>
          <w:rFonts w:ascii="Verdana" w:hAnsi="Verdana" w:cs="Arial"/>
          <w:bCs/>
          <w:kern w:val="36"/>
          <w:sz w:val="18"/>
          <w:szCs w:val="18"/>
          <w:lang w:val="en-ZA" w:eastAsia="en-ZA"/>
        </w:rPr>
        <w:t xml:space="preserve"> purchased tobacco both at auction and under contract, then processed, packaged and marketed the tobacco for manufacturers, and exported it.</w:t>
      </w:r>
      <w:r w:rsidR="006559FB">
        <w:rPr>
          <w:rFonts w:ascii="Verdana" w:hAnsi="Verdana" w:cs="Arial"/>
          <w:bCs/>
          <w:kern w:val="36"/>
          <w:sz w:val="18"/>
          <w:szCs w:val="18"/>
          <w:lang w:val="en-ZA" w:eastAsia="en-ZA"/>
        </w:rPr>
        <w:t xml:space="preserve"> </w:t>
      </w:r>
    </w:p>
    <w:p w:rsidR="00BF7DD7" w:rsidRDefault="00BF7DD7" w:rsidP="008F1FDE">
      <w:pPr>
        <w:jc w:val="both"/>
        <w:rPr>
          <w:rFonts w:ascii="Verdana" w:hAnsi="Verdana" w:cs="Arial"/>
          <w:b/>
          <w:bCs/>
          <w:kern w:val="36"/>
          <w:sz w:val="18"/>
          <w:szCs w:val="18"/>
          <w:lang w:val="en-ZA" w:eastAsia="en-ZA"/>
        </w:rPr>
      </w:pPr>
    </w:p>
    <w:p w:rsidR="00BF7DD7" w:rsidRDefault="00913B7F" w:rsidP="008F1FDE">
      <w:pPr>
        <w:jc w:val="both"/>
        <w:rPr>
          <w:rFonts w:ascii="Verdana" w:hAnsi="Verdana" w:cs="Arial"/>
          <w:bCs/>
          <w:kern w:val="36"/>
          <w:sz w:val="18"/>
          <w:szCs w:val="18"/>
          <w:lang w:val="en-ZA" w:eastAsia="en-ZA"/>
        </w:rPr>
      </w:pPr>
      <w:r w:rsidRPr="00655261">
        <w:rPr>
          <w:rFonts w:ascii="Verdana" w:hAnsi="Verdana" w:cs="Arial"/>
          <w:b/>
          <w:bCs/>
          <w:kern w:val="36"/>
          <w:sz w:val="18"/>
          <w:szCs w:val="18"/>
          <w:lang w:val="en-ZA" w:eastAsia="en-ZA"/>
        </w:rPr>
        <w:t>Facts</w:t>
      </w:r>
      <w:r w:rsidR="001F5105">
        <w:rPr>
          <w:rFonts w:ascii="Verdana" w:hAnsi="Verdana" w:cs="Arial"/>
          <w:bCs/>
          <w:kern w:val="36"/>
          <w:sz w:val="18"/>
          <w:szCs w:val="18"/>
          <w:lang w:val="en-ZA" w:eastAsia="en-ZA"/>
        </w:rPr>
        <w:t xml:space="preserve"> </w:t>
      </w:r>
    </w:p>
    <w:p w:rsidR="00913B7F" w:rsidRDefault="006559FB" w:rsidP="008F1FDE">
      <w:pPr>
        <w:jc w:val="both"/>
        <w:rPr>
          <w:rFonts w:ascii="Verdana" w:hAnsi="Verdana" w:cs="Arial"/>
          <w:bCs/>
          <w:kern w:val="36"/>
          <w:sz w:val="18"/>
          <w:szCs w:val="18"/>
          <w:lang w:val="en-ZA" w:eastAsia="en-ZA"/>
        </w:rPr>
      </w:pPr>
      <w:r>
        <w:rPr>
          <w:rFonts w:ascii="Verdana" w:hAnsi="Verdana" w:cs="Arial"/>
          <w:bCs/>
          <w:kern w:val="36"/>
          <w:sz w:val="18"/>
          <w:szCs w:val="18"/>
          <w:lang w:val="en-ZA" w:eastAsia="en-ZA"/>
        </w:rPr>
        <w:t>A US dollar amount had been deposited with the Reserve Bank of Zimbabwe for the purchase of tobacco by the appellant in August 2008.</w:t>
      </w:r>
      <w:r w:rsidR="001F5105">
        <w:rPr>
          <w:rFonts w:ascii="Verdana" w:hAnsi="Verdana" w:cs="Arial"/>
          <w:bCs/>
          <w:kern w:val="36"/>
          <w:sz w:val="18"/>
          <w:szCs w:val="18"/>
          <w:lang w:val="en-ZA" w:eastAsia="en-ZA"/>
        </w:rPr>
        <w:t xml:space="preserve"> </w:t>
      </w:r>
      <w:r>
        <w:rPr>
          <w:rFonts w:ascii="Verdana" w:hAnsi="Verdana" w:cs="Arial"/>
          <w:bCs/>
          <w:kern w:val="36"/>
          <w:sz w:val="18"/>
          <w:szCs w:val="18"/>
          <w:lang w:val="en-ZA" w:eastAsia="en-ZA"/>
        </w:rPr>
        <w:t>After such purchases, a balance of some US$2.2 million remained. Thereafter, some US$1 million of this amount went missing, having been lost in the hands of the exchange control authority.</w:t>
      </w:r>
    </w:p>
    <w:p w:rsidR="00BF7DD7" w:rsidRDefault="00BF7DD7" w:rsidP="008F1FDE">
      <w:pPr>
        <w:jc w:val="both"/>
        <w:rPr>
          <w:rFonts w:ascii="Verdana" w:hAnsi="Verdana" w:cs="Arial"/>
          <w:b/>
          <w:bCs/>
          <w:kern w:val="36"/>
          <w:sz w:val="18"/>
          <w:szCs w:val="18"/>
          <w:lang w:val="en-ZA" w:eastAsia="en-ZA"/>
        </w:rPr>
      </w:pPr>
    </w:p>
    <w:p w:rsidR="00BF7DD7" w:rsidRDefault="00913B7F" w:rsidP="008F1FDE">
      <w:pPr>
        <w:jc w:val="both"/>
        <w:rPr>
          <w:rFonts w:ascii="Verdana" w:hAnsi="Verdana" w:cs="Arial"/>
          <w:bCs/>
          <w:kern w:val="36"/>
          <w:sz w:val="18"/>
          <w:szCs w:val="18"/>
          <w:lang w:val="en-ZA" w:eastAsia="en-ZA"/>
        </w:rPr>
      </w:pPr>
      <w:r w:rsidRPr="00655261">
        <w:rPr>
          <w:rFonts w:ascii="Verdana" w:hAnsi="Verdana" w:cs="Arial"/>
          <w:b/>
          <w:bCs/>
          <w:kern w:val="36"/>
          <w:sz w:val="18"/>
          <w:szCs w:val="18"/>
          <w:lang w:val="en-ZA" w:eastAsia="en-ZA"/>
        </w:rPr>
        <w:t>Issue</w:t>
      </w:r>
      <w:r w:rsidR="00DD1144">
        <w:rPr>
          <w:rFonts w:ascii="Verdana" w:hAnsi="Verdana" w:cs="Arial"/>
          <w:bCs/>
          <w:kern w:val="36"/>
          <w:sz w:val="18"/>
          <w:szCs w:val="18"/>
          <w:lang w:val="en-ZA" w:eastAsia="en-ZA"/>
        </w:rPr>
        <w:t xml:space="preserve"> </w:t>
      </w:r>
    </w:p>
    <w:p w:rsidR="00913B7F" w:rsidRDefault="00DD1144" w:rsidP="008F1FDE">
      <w:pPr>
        <w:jc w:val="both"/>
        <w:rPr>
          <w:rFonts w:ascii="Verdana" w:hAnsi="Verdana" w:cs="Arial"/>
          <w:bCs/>
          <w:kern w:val="36"/>
          <w:sz w:val="18"/>
          <w:szCs w:val="18"/>
          <w:lang w:val="en-ZA" w:eastAsia="en-ZA"/>
        </w:rPr>
      </w:pPr>
      <w:r>
        <w:rPr>
          <w:rFonts w:ascii="Verdana" w:hAnsi="Verdana" w:cs="Arial"/>
          <w:bCs/>
          <w:kern w:val="36"/>
          <w:sz w:val="18"/>
          <w:szCs w:val="18"/>
          <w:lang w:val="en-ZA" w:eastAsia="en-ZA"/>
        </w:rPr>
        <w:t xml:space="preserve">The issue before the court was whether the misappropriation by a third party of </w:t>
      </w:r>
      <w:r w:rsidR="006559FB">
        <w:rPr>
          <w:rFonts w:ascii="Verdana" w:hAnsi="Verdana" w:cs="Arial"/>
          <w:bCs/>
          <w:kern w:val="36"/>
          <w:sz w:val="18"/>
          <w:szCs w:val="18"/>
          <w:lang w:val="en-ZA" w:eastAsia="en-ZA"/>
        </w:rPr>
        <w:t>the approximately</w:t>
      </w:r>
      <w:r>
        <w:rPr>
          <w:rFonts w:ascii="Verdana" w:hAnsi="Verdana" w:cs="Arial"/>
          <w:bCs/>
          <w:kern w:val="36"/>
          <w:sz w:val="18"/>
          <w:szCs w:val="18"/>
          <w:lang w:val="en-ZA" w:eastAsia="en-ZA"/>
        </w:rPr>
        <w:t xml:space="preserve"> US$1 million was deductible as an expense or loss suffered </w:t>
      </w:r>
      <w:r w:rsidR="003F672C">
        <w:rPr>
          <w:rFonts w:ascii="Verdana" w:hAnsi="Verdana" w:cs="Arial"/>
          <w:bCs/>
          <w:kern w:val="36"/>
          <w:sz w:val="18"/>
          <w:szCs w:val="18"/>
          <w:lang w:val="en-ZA" w:eastAsia="en-ZA"/>
        </w:rPr>
        <w:t xml:space="preserve">by the appellant </w:t>
      </w:r>
      <w:r w:rsidR="006559FB">
        <w:rPr>
          <w:rFonts w:ascii="Verdana" w:hAnsi="Verdana" w:cs="Arial"/>
          <w:bCs/>
          <w:kern w:val="36"/>
          <w:sz w:val="18"/>
          <w:szCs w:val="18"/>
          <w:lang w:val="en-ZA" w:eastAsia="en-ZA"/>
        </w:rPr>
        <w:t>i</w:t>
      </w:r>
      <w:r>
        <w:rPr>
          <w:rFonts w:ascii="Verdana" w:hAnsi="Verdana" w:cs="Arial"/>
          <w:bCs/>
          <w:kern w:val="36"/>
          <w:sz w:val="18"/>
          <w:szCs w:val="18"/>
          <w:lang w:val="en-ZA" w:eastAsia="en-ZA"/>
        </w:rPr>
        <w:t xml:space="preserve">n the course of trade or business or in the production of income </w:t>
      </w:r>
      <w:r w:rsidR="003F672C">
        <w:rPr>
          <w:rFonts w:ascii="Verdana" w:hAnsi="Verdana" w:cs="Arial"/>
          <w:bCs/>
          <w:kern w:val="36"/>
          <w:sz w:val="18"/>
          <w:szCs w:val="18"/>
          <w:lang w:val="en-ZA" w:eastAsia="en-ZA"/>
        </w:rPr>
        <w:t xml:space="preserve">as envisaged </w:t>
      </w:r>
      <w:r>
        <w:rPr>
          <w:rFonts w:ascii="Verdana" w:hAnsi="Verdana" w:cs="Arial"/>
          <w:bCs/>
          <w:kern w:val="36"/>
          <w:sz w:val="18"/>
          <w:szCs w:val="18"/>
          <w:lang w:val="en-ZA" w:eastAsia="en-ZA"/>
        </w:rPr>
        <w:t xml:space="preserve">in terms of Zimbabwe’s Income Tax Act. </w:t>
      </w:r>
    </w:p>
    <w:p w:rsidR="00BF7DD7" w:rsidRDefault="00BF7DD7" w:rsidP="008F1FDE">
      <w:pPr>
        <w:jc w:val="both"/>
        <w:rPr>
          <w:rFonts w:ascii="Verdana" w:hAnsi="Verdana" w:cs="Arial"/>
          <w:b/>
          <w:bCs/>
          <w:kern w:val="36"/>
          <w:sz w:val="18"/>
          <w:szCs w:val="18"/>
          <w:lang w:val="en-ZA" w:eastAsia="en-ZA"/>
        </w:rPr>
      </w:pPr>
    </w:p>
    <w:p w:rsidR="00BF7DD7" w:rsidRDefault="00913B7F" w:rsidP="008F1FDE">
      <w:pPr>
        <w:jc w:val="both"/>
        <w:rPr>
          <w:rFonts w:ascii="Verdana" w:hAnsi="Verdana" w:cs="Arial"/>
          <w:bCs/>
          <w:kern w:val="36"/>
          <w:sz w:val="18"/>
          <w:szCs w:val="18"/>
          <w:lang w:val="en-ZA" w:eastAsia="en-ZA"/>
        </w:rPr>
      </w:pPr>
      <w:r w:rsidRPr="00655261">
        <w:rPr>
          <w:rFonts w:ascii="Verdana" w:hAnsi="Verdana" w:cs="Arial"/>
          <w:b/>
          <w:bCs/>
          <w:kern w:val="36"/>
          <w:sz w:val="18"/>
          <w:szCs w:val="18"/>
          <w:lang w:val="en-ZA" w:eastAsia="en-ZA"/>
        </w:rPr>
        <w:t>Decision</w:t>
      </w:r>
      <w:r w:rsidR="00DD1144">
        <w:rPr>
          <w:rFonts w:ascii="Verdana" w:hAnsi="Verdana" w:cs="Arial"/>
          <w:bCs/>
          <w:kern w:val="36"/>
          <w:sz w:val="18"/>
          <w:szCs w:val="18"/>
          <w:lang w:val="en-ZA" w:eastAsia="en-ZA"/>
        </w:rPr>
        <w:t xml:space="preserve"> </w:t>
      </w:r>
    </w:p>
    <w:p w:rsidR="00913B7F" w:rsidRPr="00655261" w:rsidRDefault="00DD1144" w:rsidP="008F1FDE">
      <w:pPr>
        <w:jc w:val="both"/>
        <w:rPr>
          <w:rFonts w:ascii="Verdana" w:hAnsi="Verdana" w:cs="Arial"/>
          <w:b/>
          <w:bCs/>
          <w:kern w:val="36"/>
          <w:sz w:val="18"/>
          <w:szCs w:val="18"/>
          <w:lang w:val="en-ZA" w:eastAsia="en-ZA"/>
        </w:rPr>
      </w:pPr>
      <w:r>
        <w:rPr>
          <w:rFonts w:ascii="Verdana" w:hAnsi="Verdana" w:cs="Arial"/>
          <w:bCs/>
          <w:kern w:val="36"/>
          <w:sz w:val="18"/>
          <w:szCs w:val="18"/>
          <w:lang w:val="en-ZA" w:eastAsia="en-ZA"/>
        </w:rPr>
        <w:t xml:space="preserve">It was held that the loss of the money in issue was a risk inherent in the appellant’s business, was fortuitous expenditure not of a capital </w:t>
      </w:r>
      <w:r w:rsidR="003F672C">
        <w:rPr>
          <w:rFonts w:ascii="Verdana" w:hAnsi="Verdana" w:cs="Arial"/>
          <w:bCs/>
          <w:kern w:val="36"/>
          <w:sz w:val="18"/>
          <w:szCs w:val="18"/>
          <w:lang w:val="en-ZA" w:eastAsia="en-ZA"/>
        </w:rPr>
        <w:t xml:space="preserve">nature that had been </w:t>
      </w:r>
      <w:r>
        <w:rPr>
          <w:rFonts w:ascii="Verdana" w:hAnsi="Verdana" w:cs="Arial"/>
          <w:bCs/>
          <w:kern w:val="36"/>
          <w:sz w:val="18"/>
          <w:szCs w:val="18"/>
          <w:lang w:val="en-ZA" w:eastAsia="en-ZA"/>
        </w:rPr>
        <w:t>incurred in the ordinary course of business</w:t>
      </w:r>
      <w:r w:rsidR="004B0198">
        <w:rPr>
          <w:rFonts w:ascii="Verdana" w:hAnsi="Verdana" w:cs="Arial"/>
          <w:bCs/>
          <w:kern w:val="36"/>
          <w:sz w:val="18"/>
          <w:szCs w:val="18"/>
          <w:lang w:val="en-ZA" w:eastAsia="en-ZA"/>
        </w:rPr>
        <w:t>,</w:t>
      </w:r>
      <w:r>
        <w:rPr>
          <w:rFonts w:ascii="Verdana" w:hAnsi="Verdana" w:cs="Arial"/>
          <w:bCs/>
          <w:kern w:val="36"/>
          <w:sz w:val="18"/>
          <w:szCs w:val="18"/>
          <w:lang w:val="en-ZA" w:eastAsia="en-ZA"/>
        </w:rPr>
        <w:t xml:space="preserve"> and was therefore deductible in terms</w:t>
      </w:r>
      <w:r w:rsidR="00BF7DD7">
        <w:rPr>
          <w:rFonts w:ascii="Verdana" w:hAnsi="Verdana" w:cs="Arial"/>
          <w:bCs/>
          <w:kern w:val="36"/>
          <w:sz w:val="18"/>
          <w:szCs w:val="18"/>
          <w:lang w:val="en-ZA" w:eastAsia="en-ZA"/>
        </w:rPr>
        <w:t xml:space="preserve"> of s</w:t>
      </w:r>
      <w:r>
        <w:rPr>
          <w:rFonts w:ascii="Verdana" w:hAnsi="Verdana" w:cs="Arial"/>
          <w:bCs/>
          <w:kern w:val="36"/>
          <w:sz w:val="18"/>
          <w:szCs w:val="18"/>
          <w:lang w:val="en-ZA" w:eastAsia="en-ZA"/>
        </w:rPr>
        <w:t xml:space="preserve"> 15(2)</w:t>
      </w:r>
      <w:r w:rsidRPr="00BF7DD7">
        <w:rPr>
          <w:rFonts w:ascii="Verdana" w:hAnsi="Verdana" w:cs="Arial"/>
          <w:bCs/>
          <w:i/>
          <w:kern w:val="36"/>
          <w:sz w:val="18"/>
          <w:szCs w:val="18"/>
          <w:lang w:val="en-ZA" w:eastAsia="en-ZA"/>
        </w:rPr>
        <w:t>(a)</w:t>
      </w:r>
      <w:r>
        <w:rPr>
          <w:rFonts w:ascii="Verdana" w:hAnsi="Verdana" w:cs="Arial"/>
          <w:bCs/>
          <w:kern w:val="36"/>
          <w:sz w:val="18"/>
          <w:szCs w:val="18"/>
          <w:lang w:val="en-ZA" w:eastAsia="en-ZA"/>
        </w:rPr>
        <w:t xml:space="preserve"> of Zimbabwe’s Income Tax Act.</w:t>
      </w:r>
    </w:p>
    <w:p w:rsidR="00ED24A9" w:rsidRDefault="00ED24A9" w:rsidP="008F1FDE">
      <w:pPr>
        <w:jc w:val="both"/>
        <w:rPr>
          <w:rFonts w:ascii="Verdana" w:hAnsi="Verdana" w:cs="Arial"/>
          <w:sz w:val="18"/>
          <w:szCs w:val="18"/>
          <w:lang w:val="en-ZA" w:eastAsia="en-ZA"/>
        </w:rPr>
      </w:pPr>
    </w:p>
    <w:p w:rsidR="00ED24A9" w:rsidRDefault="00ED24A9" w:rsidP="008F1FDE">
      <w:pPr>
        <w:jc w:val="both"/>
        <w:rPr>
          <w:rFonts w:ascii="Verdana" w:hAnsi="Verdana" w:cs="Arial"/>
          <w:sz w:val="18"/>
          <w:szCs w:val="18"/>
          <w:lang w:val="en-ZA" w:eastAsia="en-ZA"/>
        </w:rPr>
      </w:pPr>
    </w:p>
    <w:p w:rsidR="002F2E83" w:rsidRDefault="002F2E83" w:rsidP="00655261">
      <w:pPr>
        <w:jc w:val="center"/>
        <w:rPr>
          <w:rFonts w:ascii="Verdana" w:hAnsi="Verdana"/>
          <w:b/>
          <w:color w:val="008080"/>
          <w:sz w:val="24"/>
        </w:rPr>
      </w:pPr>
    </w:p>
    <w:p w:rsidR="002F2E83" w:rsidRDefault="002F2E83" w:rsidP="00655261">
      <w:pPr>
        <w:jc w:val="center"/>
        <w:rPr>
          <w:rFonts w:ascii="Verdana" w:hAnsi="Verdana"/>
          <w:b/>
          <w:color w:val="008080"/>
          <w:sz w:val="24"/>
        </w:rPr>
      </w:pPr>
    </w:p>
    <w:p w:rsidR="002F2E83" w:rsidRDefault="002F2E83" w:rsidP="00655261">
      <w:pPr>
        <w:jc w:val="center"/>
        <w:rPr>
          <w:rFonts w:ascii="Verdana" w:hAnsi="Verdana"/>
          <w:b/>
          <w:color w:val="008080"/>
          <w:sz w:val="24"/>
        </w:rPr>
      </w:pPr>
    </w:p>
    <w:p w:rsidR="002F2E83" w:rsidRDefault="002F2E83" w:rsidP="00655261">
      <w:pPr>
        <w:jc w:val="center"/>
        <w:rPr>
          <w:rFonts w:ascii="Verdana" w:hAnsi="Verdana"/>
          <w:b/>
          <w:color w:val="008080"/>
          <w:sz w:val="24"/>
        </w:rPr>
      </w:pPr>
    </w:p>
    <w:p w:rsidR="002F2E83" w:rsidRDefault="002F2E83" w:rsidP="00655261">
      <w:pPr>
        <w:jc w:val="center"/>
        <w:rPr>
          <w:rFonts w:ascii="Verdana" w:hAnsi="Verdana"/>
          <w:b/>
          <w:color w:val="008080"/>
          <w:sz w:val="24"/>
        </w:rPr>
      </w:pPr>
    </w:p>
    <w:p w:rsidR="002F2E83" w:rsidRDefault="002F2E83" w:rsidP="00655261">
      <w:pPr>
        <w:jc w:val="center"/>
        <w:rPr>
          <w:rFonts w:ascii="Verdana" w:hAnsi="Verdana"/>
          <w:b/>
          <w:color w:val="008080"/>
          <w:sz w:val="24"/>
        </w:rPr>
      </w:pPr>
    </w:p>
    <w:p w:rsidR="002F2E83" w:rsidRDefault="002F2E83" w:rsidP="00655261">
      <w:pPr>
        <w:jc w:val="center"/>
        <w:rPr>
          <w:rFonts w:ascii="Verdana" w:hAnsi="Verdana"/>
          <w:b/>
          <w:color w:val="008080"/>
          <w:sz w:val="24"/>
        </w:rPr>
      </w:pPr>
    </w:p>
    <w:p w:rsidR="002E3D4B" w:rsidRPr="00BF7DD7" w:rsidRDefault="00BF7DD7" w:rsidP="00655261">
      <w:pPr>
        <w:jc w:val="center"/>
        <w:rPr>
          <w:rFonts w:ascii="Verdana" w:hAnsi="Verdana" w:cs="Arial"/>
          <w:b/>
          <w:color w:val="00B0F0"/>
          <w:sz w:val="28"/>
          <w:szCs w:val="28"/>
          <w:lang w:val="en-ZA" w:eastAsia="en-ZA"/>
        </w:rPr>
      </w:pPr>
      <w:r w:rsidRPr="00BF7DD7">
        <w:rPr>
          <w:rFonts w:ascii="Verdana" w:hAnsi="Verdana"/>
          <w:b/>
          <w:color w:val="008080"/>
          <w:sz w:val="24"/>
        </w:rPr>
        <w:t>REGULATIONS IN TERMS OF ACTS ADMINISTERED BY SARS</w:t>
      </w:r>
      <w:r w:rsidRPr="00BF7DD7">
        <w:rPr>
          <w:rFonts w:ascii="Verdana" w:hAnsi="Verdana" w:cs="Arial"/>
          <w:b/>
          <w:color w:val="00B0F0"/>
          <w:sz w:val="28"/>
          <w:szCs w:val="28"/>
          <w:lang w:val="en-ZA" w:eastAsia="en-ZA"/>
        </w:rPr>
        <w:t xml:space="preserve"> </w:t>
      </w:r>
    </w:p>
    <w:p w:rsidR="002E3D4B" w:rsidRPr="00BF7DD7" w:rsidRDefault="002E3D4B" w:rsidP="00B43D56">
      <w:pPr>
        <w:jc w:val="both"/>
        <w:rPr>
          <w:rFonts w:ascii="Verdana" w:hAnsi="Verdana" w:cs="Arial"/>
          <w:sz w:val="18"/>
          <w:szCs w:val="18"/>
          <w:lang w:val="en-ZA" w:eastAsia="en-ZA"/>
        </w:rPr>
      </w:pPr>
    </w:p>
    <w:p w:rsidR="00171F48" w:rsidRPr="00BF7DD7" w:rsidRDefault="00171F48" w:rsidP="00B43D56">
      <w:pPr>
        <w:jc w:val="both"/>
        <w:rPr>
          <w:rFonts w:ascii="Verdana" w:hAnsi="Verdana" w:cs="Arial"/>
          <w:sz w:val="18"/>
          <w:szCs w:val="18"/>
          <w:lang w:val="en-ZA" w:eastAsia="en-ZA"/>
        </w:rPr>
      </w:pPr>
    </w:p>
    <w:p w:rsidR="00B14532" w:rsidRPr="00546921" w:rsidRDefault="00B14532" w:rsidP="00B43D56">
      <w:pPr>
        <w:jc w:val="both"/>
        <w:rPr>
          <w:rFonts w:ascii="Verdana" w:hAnsi="Verdana" w:cs="Arial"/>
          <w:color w:val="000000"/>
          <w:sz w:val="18"/>
          <w:szCs w:val="18"/>
          <w:shd w:val="clear" w:color="auto" w:fill="FFFFFF"/>
        </w:rPr>
      </w:pPr>
      <w:r w:rsidRPr="00546921">
        <w:rPr>
          <w:rFonts w:ascii="Verdana" w:hAnsi="Verdana" w:cs="Arial"/>
          <w:color w:val="000000"/>
          <w:sz w:val="18"/>
          <w:szCs w:val="18"/>
          <w:shd w:val="clear" w:color="auto" w:fill="FFFFFF"/>
        </w:rPr>
        <w:lastRenderedPageBreak/>
        <w:t>Regulation 343 in G</w:t>
      </w:r>
      <w:r w:rsidR="00D56174" w:rsidRPr="00546921">
        <w:rPr>
          <w:rFonts w:ascii="Verdana" w:hAnsi="Verdana" w:cs="Arial"/>
          <w:color w:val="000000"/>
          <w:sz w:val="18"/>
          <w:szCs w:val="18"/>
          <w:shd w:val="clear" w:color="auto" w:fill="FFFFFF"/>
        </w:rPr>
        <w:t>overnment Gazette</w:t>
      </w:r>
      <w:r w:rsidRPr="00546921">
        <w:rPr>
          <w:rFonts w:ascii="Verdana" w:hAnsi="Verdana" w:cs="Arial"/>
          <w:color w:val="000000"/>
          <w:sz w:val="18"/>
          <w:szCs w:val="18"/>
          <w:shd w:val="clear" w:color="auto" w:fill="FFFFFF"/>
        </w:rPr>
        <w:t xml:space="preserve"> 38729 dated 23 April 2015 </w:t>
      </w:r>
      <w:r w:rsidR="00F53418" w:rsidRPr="00546921">
        <w:rPr>
          <w:rFonts w:ascii="Verdana" w:hAnsi="Verdana" w:cs="Arial"/>
          <w:color w:val="000000"/>
          <w:sz w:val="18"/>
          <w:szCs w:val="18"/>
          <w:shd w:val="clear" w:color="auto" w:fill="FFFFFF"/>
        </w:rPr>
        <w:t>i</w:t>
      </w:r>
      <w:r w:rsidRPr="00546921">
        <w:rPr>
          <w:rFonts w:ascii="Verdana" w:hAnsi="Verdana" w:cs="Arial"/>
          <w:color w:val="000000"/>
          <w:sz w:val="18"/>
          <w:szCs w:val="18"/>
          <w:shd w:val="clear" w:color="auto" w:fill="FFFFFF"/>
        </w:rPr>
        <w:t>n terms of s 11D(6)</w:t>
      </w:r>
      <w:r w:rsidRPr="00546921">
        <w:rPr>
          <w:rFonts w:ascii="Verdana" w:hAnsi="Verdana" w:cs="Arial"/>
          <w:i/>
          <w:color w:val="000000"/>
          <w:sz w:val="18"/>
          <w:szCs w:val="18"/>
          <w:shd w:val="clear" w:color="auto" w:fill="FFFFFF"/>
        </w:rPr>
        <w:t>(b)</w:t>
      </w:r>
      <w:r w:rsidRPr="00546921">
        <w:rPr>
          <w:rFonts w:ascii="Verdana" w:hAnsi="Verdana" w:cs="Arial"/>
          <w:color w:val="000000"/>
          <w:sz w:val="18"/>
          <w:szCs w:val="18"/>
          <w:shd w:val="clear" w:color="auto" w:fill="FFFFFF"/>
        </w:rPr>
        <w:t xml:space="preserve"> of the Income Tax Act 58 of 1962 </w:t>
      </w:r>
      <w:r w:rsidR="004B0198" w:rsidRPr="00546921">
        <w:rPr>
          <w:rFonts w:ascii="Verdana" w:hAnsi="Verdana" w:cs="Arial"/>
          <w:color w:val="000000"/>
          <w:sz w:val="18"/>
          <w:szCs w:val="18"/>
          <w:shd w:val="clear" w:color="auto" w:fill="FFFFFF"/>
        </w:rPr>
        <w:t>relates to</w:t>
      </w:r>
      <w:r w:rsidRPr="00546921">
        <w:rPr>
          <w:rFonts w:ascii="Verdana" w:hAnsi="Verdana" w:cs="Arial"/>
          <w:color w:val="000000"/>
          <w:sz w:val="18"/>
          <w:szCs w:val="18"/>
          <w:shd w:val="clear" w:color="auto" w:fill="FFFFFF"/>
        </w:rPr>
        <w:t xml:space="preserve"> certain categories of research and development that are deemed to constitute the carrying on of research and development</w:t>
      </w:r>
      <w:r w:rsidR="004B0198" w:rsidRPr="00546921">
        <w:rPr>
          <w:rFonts w:ascii="Verdana" w:hAnsi="Verdana" w:cs="Arial"/>
          <w:color w:val="000000"/>
          <w:sz w:val="18"/>
          <w:szCs w:val="18"/>
          <w:shd w:val="clear" w:color="auto" w:fill="FFFFFF"/>
        </w:rPr>
        <w:t>.</w:t>
      </w:r>
    </w:p>
    <w:p w:rsidR="00B14532" w:rsidRPr="00546921" w:rsidRDefault="00B14532" w:rsidP="00B43D56">
      <w:pPr>
        <w:jc w:val="both"/>
        <w:rPr>
          <w:rFonts w:ascii="Verdana" w:hAnsi="Verdana" w:cs="Arial"/>
          <w:sz w:val="18"/>
          <w:szCs w:val="18"/>
          <w:lang w:val="en-ZA" w:eastAsia="en-ZA"/>
        </w:rPr>
      </w:pPr>
    </w:p>
    <w:p w:rsidR="00F53418" w:rsidRPr="00546921" w:rsidRDefault="00F53418" w:rsidP="00B43D56">
      <w:pPr>
        <w:jc w:val="both"/>
        <w:rPr>
          <w:rFonts w:ascii="Verdana" w:hAnsi="Verdana" w:cs="Arial"/>
          <w:sz w:val="18"/>
          <w:szCs w:val="18"/>
          <w:lang w:val="en-ZA" w:eastAsia="en-ZA"/>
        </w:rPr>
      </w:pPr>
      <w:r w:rsidRPr="00546921">
        <w:rPr>
          <w:rFonts w:ascii="Verdana" w:hAnsi="Verdana" w:cs="Arial"/>
          <w:color w:val="000000"/>
          <w:sz w:val="18"/>
          <w:szCs w:val="18"/>
          <w:shd w:val="clear" w:color="auto" w:fill="FFFFFF"/>
        </w:rPr>
        <w:t>Re</w:t>
      </w:r>
      <w:r w:rsidR="002E3D4B" w:rsidRPr="00546921">
        <w:rPr>
          <w:rFonts w:ascii="Verdana" w:hAnsi="Verdana" w:cs="Arial"/>
          <w:color w:val="000000"/>
          <w:sz w:val="18"/>
          <w:szCs w:val="18"/>
          <w:shd w:val="clear" w:color="auto" w:fill="FFFFFF"/>
        </w:rPr>
        <w:t xml:space="preserve">gulation 344 </w:t>
      </w:r>
      <w:r w:rsidRPr="00546921">
        <w:rPr>
          <w:rFonts w:ascii="Verdana" w:hAnsi="Verdana" w:cs="Arial"/>
          <w:color w:val="000000"/>
          <w:sz w:val="18"/>
          <w:szCs w:val="18"/>
          <w:shd w:val="clear" w:color="auto" w:fill="FFFFFF"/>
        </w:rPr>
        <w:t>in Government Gazette 38730 is a regulation in terms of para</w:t>
      </w:r>
      <w:r w:rsidRPr="00546921">
        <w:rPr>
          <w:rFonts w:ascii="Verdana" w:hAnsi="Verdana"/>
          <w:sz w:val="18"/>
          <w:szCs w:val="18"/>
        </w:rPr>
        <w:t> </w:t>
      </w:r>
      <w:r w:rsidRPr="00546921">
        <w:rPr>
          <w:rFonts w:ascii="Verdana" w:hAnsi="Verdana"/>
          <w:i/>
          <w:iCs/>
          <w:sz w:val="18"/>
          <w:szCs w:val="18"/>
        </w:rPr>
        <w:t>(e)</w:t>
      </w:r>
      <w:r w:rsidRPr="00546921">
        <w:rPr>
          <w:rFonts w:ascii="Verdana" w:hAnsi="Verdana"/>
          <w:sz w:val="18"/>
          <w:szCs w:val="18"/>
        </w:rPr>
        <w:t> </w:t>
      </w:r>
      <w:r w:rsidRPr="00546921">
        <w:rPr>
          <w:rFonts w:ascii="Verdana" w:hAnsi="Verdana" w:cs="Arial"/>
          <w:color w:val="000000"/>
          <w:sz w:val="18"/>
          <w:szCs w:val="18"/>
          <w:shd w:val="clear" w:color="auto" w:fill="FFFFFF"/>
        </w:rPr>
        <w:t xml:space="preserve">of </w:t>
      </w:r>
      <w:r w:rsidR="004B0198" w:rsidRPr="00546921">
        <w:rPr>
          <w:rFonts w:ascii="Verdana" w:hAnsi="Verdana" w:cs="Arial"/>
          <w:color w:val="000000"/>
          <w:sz w:val="18"/>
          <w:szCs w:val="18"/>
          <w:shd w:val="clear" w:color="auto" w:fill="FFFFFF"/>
        </w:rPr>
        <w:t xml:space="preserve">the </w:t>
      </w:r>
      <w:r w:rsidRPr="00546921">
        <w:rPr>
          <w:rFonts w:ascii="Verdana" w:hAnsi="Verdana" w:cs="Arial"/>
          <w:color w:val="000000"/>
          <w:sz w:val="18"/>
          <w:szCs w:val="18"/>
          <w:shd w:val="clear" w:color="auto" w:fill="FFFFFF"/>
        </w:rPr>
        <w:t xml:space="preserve">definition of </w:t>
      </w:r>
      <w:r w:rsidR="00B43D56" w:rsidRPr="00546921">
        <w:rPr>
          <w:rFonts w:ascii="Verdana" w:hAnsi="Verdana" w:cs="Arial"/>
          <w:color w:val="000000"/>
          <w:sz w:val="18"/>
          <w:szCs w:val="18"/>
          <w:shd w:val="clear" w:color="auto" w:fill="FFFFFF"/>
        </w:rPr>
        <w:t>‘</w:t>
      </w:r>
      <w:r w:rsidRPr="00546921">
        <w:rPr>
          <w:rFonts w:ascii="Verdana" w:hAnsi="Verdana" w:cs="Arial"/>
          <w:color w:val="000000"/>
          <w:sz w:val="18"/>
          <w:szCs w:val="18"/>
          <w:shd w:val="clear" w:color="auto" w:fill="FFFFFF"/>
        </w:rPr>
        <w:t>research and development</w:t>
      </w:r>
      <w:r w:rsidR="00B43D56" w:rsidRPr="00546921">
        <w:rPr>
          <w:rFonts w:ascii="Verdana" w:hAnsi="Verdana" w:cs="Arial"/>
          <w:color w:val="000000"/>
          <w:sz w:val="18"/>
          <w:szCs w:val="18"/>
          <w:shd w:val="clear" w:color="auto" w:fill="FFFFFF"/>
        </w:rPr>
        <w:t>’</w:t>
      </w:r>
      <w:r w:rsidRPr="00546921">
        <w:rPr>
          <w:rFonts w:ascii="Verdana" w:hAnsi="Verdana" w:cs="Arial"/>
          <w:color w:val="000000"/>
          <w:sz w:val="18"/>
          <w:szCs w:val="18"/>
          <w:shd w:val="clear" w:color="auto" w:fill="FFFFFF"/>
        </w:rPr>
        <w:t xml:space="preserve"> in s 11D(1) of the Income Tax Act 58 of 1962</w:t>
      </w:r>
      <w:r w:rsidR="004B0198" w:rsidRPr="00546921">
        <w:rPr>
          <w:rFonts w:ascii="Verdana" w:hAnsi="Verdana" w:cs="Arial"/>
          <w:color w:val="000000"/>
          <w:sz w:val="18"/>
          <w:szCs w:val="18"/>
          <w:shd w:val="clear" w:color="auto" w:fill="FFFFFF"/>
        </w:rPr>
        <w:t xml:space="preserve"> regarding the</w:t>
      </w:r>
      <w:r w:rsidRPr="00546921">
        <w:rPr>
          <w:rFonts w:ascii="Verdana" w:hAnsi="Verdana" w:cs="Arial"/>
          <w:color w:val="000000"/>
          <w:sz w:val="18"/>
          <w:szCs w:val="18"/>
          <w:shd w:val="clear" w:color="auto" w:fill="FFFFFF"/>
        </w:rPr>
        <w:t xml:space="preserve"> criteria f</w:t>
      </w:r>
      <w:r w:rsidR="004B0198" w:rsidRPr="00546921">
        <w:rPr>
          <w:rFonts w:ascii="Verdana" w:hAnsi="Verdana" w:cs="Arial"/>
          <w:color w:val="000000"/>
          <w:sz w:val="18"/>
          <w:szCs w:val="18"/>
          <w:shd w:val="clear" w:color="auto" w:fill="FFFFFF"/>
        </w:rPr>
        <w:t>or clinical trials in respect of</w:t>
      </w:r>
      <w:r w:rsidRPr="00546921">
        <w:rPr>
          <w:rFonts w:ascii="Verdana" w:hAnsi="Verdana" w:cs="Arial"/>
          <w:color w:val="000000"/>
          <w:sz w:val="18"/>
          <w:szCs w:val="18"/>
          <w:shd w:val="clear" w:color="auto" w:fill="FFFFFF"/>
        </w:rPr>
        <w:t xml:space="preserve"> </w:t>
      </w:r>
      <w:r w:rsidR="004B0198" w:rsidRPr="00546921">
        <w:rPr>
          <w:rFonts w:ascii="Verdana" w:hAnsi="Verdana" w:cs="Arial"/>
          <w:color w:val="000000"/>
          <w:sz w:val="18"/>
          <w:szCs w:val="18"/>
          <w:shd w:val="clear" w:color="auto" w:fill="FFFFFF"/>
        </w:rPr>
        <w:t xml:space="preserve">a </w:t>
      </w:r>
      <w:r w:rsidRPr="00546921">
        <w:rPr>
          <w:rFonts w:ascii="Verdana" w:hAnsi="Verdana" w:cs="Arial"/>
          <w:color w:val="000000"/>
          <w:sz w:val="18"/>
          <w:szCs w:val="18"/>
          <w:shd w:val="clear" w:color="auto" w:fill="FFFFFF"/>
        </w:rPr>
        <w:t>deduction for research and development</w:t>
      </w:r>
      <w:r w:rsidR="004B0198" w:rsidRPr="00546921">
        <w:rPr>
          <w:rFonts w:ascii="Verdana" w:hAnsi="Verdana" w:cs="Arial"/>
          <w:color w:val="000000"/>
          <w:sz w:val="18"/>
          <w:szCs w:val="18"/>
          <w:shd w:val="clear" w:color="auto" w:fill="FFFFFF"/>
        </w:rPr>
        <w:t xml:space="preserve"> expenditure.</w:t>
      </w:r>
    </w:p>
    <w:p w:rsidR="00F53418" w:rsidRPr="00546921" w:rsidRDefault="00F53418" w:rsidP="00B43D56">
      <w:pPr>
        <w:jc w:val="both"/>
        <w:rPr>
          <w:rFonts w:ascii="Verdana" w:hAnsi="Verdana" w:cs="Arial"/>
          <w:sz w:val="18"/>
          <w:szCs w:val="18"/>
          <w:lang w:val="en-ZA" w:eastAsia="en-ZA"/>
        </w:rPr>
      </w:pPr>
    </w:p>
    <w:p w:rsidR="00F04B9C" w:rsidRPr="00546921" w:rsidRDefault="00F04B9C" w:rsidP="00B43D56">
      <w:pPr>
        <w:jc w:val="both"/>
        <w:rPr>
          <w:rFonts w:ascii="Verdana" w:hAnsi="Verdana" w:cs="Arial"/>
          <w:sz w:val="18"/>
          <w:szCs w:val="18"/>
          <w:lang w:val="en-ZA" w:eastAsia="en-ZA"/>
        </w:rPr>
      </w:pPr>
      <w:r w:rsidRPr="00546921">
        <w:rPr>
          <w:rFonts w:ascii="Verdana" w:hAnsi="Verdana" w:cs="Arial"/>
          <w:color w:val="000000"/>
          <w:sz w:val="18"/>
          <w:szCs w:val="18"/>
          <w:shd w:val="clear" w:color="auto" w:fill="FFFFFF"/>
        </w:rPr>
        <w:t>Regulation 346 in Government Gazette 38732 of 23 April 2015 is a regulation in terms of para</w:t>
      </w:r>
      <w:r w:rsidRPr="00546921">
        <w:rPr>
          <w:rFonts w:ascii="Verdana" w:hAnsi="Verdana"/>
          <w:sz w:val="18"/>
          <w:szCs w:val="18"/>
        </w:rPr>
        <w:t> </w:t>
      </w:r>
      <w:r w:rsidRPr="00546921">
        <w:rPr>
          <w:rFonts w:ascii="Verdana" w:hAnsi="Verdana"/>
          <w:i/>
          <w:sz w:val="18"/>
          <w:szCs w:val="18"/>
        </w:rPr>
        <w:t>(d)</w:t>
      </w:r>
      <w:r w:rsidRPr="00546921">
        <w:rPr>
          <w:rFonts w:ascii="Verdana" w:hAnsi="Verdana"/>
          <w:sz w:val="18"/>
          <w:szCs w:val="18"/>
        </w:rPr>
        <w:t> </w:t>
      </w:r>
      <w:r w:rsidRPr="00546921">
        <w:rPr>
          <w:rFonts w:ascii="Verdana" w:hAnsi="Verdana" w:cs="Arial"/>
          <w:color w:val="000000"/>
          <w:sz w:val="18"/>
          <w:szCs w:val="18"/>
          <w:shd w:val="clear" w:color="auto" w:fill="FFFFFF"/>
        </w:rPr>
        <w:t xml:space="preserve">of the definition of </w:t>
      </w:r>
      <w:r w:rsidR="00B43D56" w:rsidRPr="00546921">
        <w:rPr>
          <w:rFonts w:ascii="Verdana" w:hAnsi="Verdana" w:cs="Arial"/>
          <w:color w:val="000000"/>
          <w:sz w:val="18"/>
          <w:szCs w:val="18"/>
          <w:shd w:val="clear" w:color="auto" w:fill="FFFFFF"/>
        </w:rPr>
        <w:t>‘</w:t>
      </w:r>
      <w:r w:rsidRPr="00546921">
        <w:rPr>
          <w:rFonts w:ascii="Verdana" w:hAnsi="Verdana" w:cs="Arial"/>
          <w:color w:val="000000"/>
          <w:sz w:val="18"/>
          <w:szCs w:val="18"/>
          <w:shd w:val="clear" w:color="auto" w:fill="FFFFFF"/>
        </w:rPr>
        <w:t>research and development</w:t>
      </w:r>
      <w:r w:rsidR="00B43D56" w:rsidRPr="00546921">
        <w:rPr>
          <w:rFonts w:ascii="Verdana" w:hAnsi="Verdana" w:cs="Arial"/>
          <w:color w:val="000000"/>
          <w:sz w:val="18"/>
          <w:szCs w:val="18"/>
          <w:shd w:val="clear" w:color="auto" w:fill="FFFFFF"/>
        </w:rPr>
        <w:t>’</w:t>
      </w:r>
      <w:r w:rsidRPr="00546921">
        <w:rPr>
          <w:rFonts w:ascii="Verdana" w:hAnsi="Verdana" w:cs="Arial"/>
          <w:color w:val="000000"/>
          <w:sz w:val="18"/>
          <w:szCs w:val="18"/>
          <w:shd w:val="clear" w:color="auto" w:fill="FFFFFF"/>
        </w:rPr>
        <w:t xml:space="preserve"> in s 11D(1) </w:t>
      </w:r>
      <w:r w:rsidR="004B0198" w:rsidRPr="00546921">
        <w:rPr>
          <w:rFonts w:ascii="Verdana" w:hAnsi="Verdana" w:cs="Arial"/>
          <w:color w:val="000000"/>
          <w:sz w:val="18"/>
          <w:szCs w:val="18"/>
          <w:shd w:val="clear" w:color="auto" w:fill="FFFFFF"/>
        </w:rPr>
        <w:t>regarding</w:t>
      </w:r>
      <w:r w:rsidRPr="00546921">
        <w:rPr>
          <w:rFonts w:ascii="Verdana" w:hAnsi="Verdana" w:cs="Arial"/>
          <w:color w:val="000000"/>
          <w:sz w:val="18"/>
          <w:szCs w:val="18"/>
          <w:shd w:val="clear" w:color="auto" w:fill="FFFFFF"/>
        </w:rPr>
        <w:t xml:space="preserve"> additional criteria for multisource pharmaceutical products</w:t>
      </w:r>
      <w:r w:rsidR="004B0198" w:rsidRPr="00546921">
        <w:rPr>
          <w:rFonts w:ascii="Verdana" w:hAnsi="Verdana" w:cs="Arial"/>
          <w:color w:val="000000"/>
          <w:sz w:val="18"/>
          <w:szCs w:val="18"/>
          <w:shd w:val="clear" w:color="auto" w:fill="FFFFFF"/>
        </w:rPr>
        <w:t>.</w:t>
      </w:r>
    </w:p>
    <w:p w:rsidR="0095074D" w:rsidRPr="00546921" w:rsidRDefault="0095074D" w:rsidP="00B43D56">
      <w:pPr>
        <w:jc w:val="both"/>
        <w:rPr>
          <w:rFonts w:ascii="Verdana" w:hAnsi="Verdana" w:cs="Arial"/>
          <w:sz w:val="18"/>
          <w:szCs w:val="18"/>
          <w:lang w:val="en-ZA" w:eastAsia="en-ZA"/>
        </w:rPr>
      </w:pPr>
    </w:p>
    <w:p w:rsidR="0095074D" w:rsidRPr="00546921" w:rsidRDefault="0095074D" w:rsidP="00B43D56">
      <w:pPr>
        <w:jc w:val="both"/>
        <w:rPr>
          <w:rFonts w:ascii="Verdana" w:hAnsi="Verdana" w:cs="Arial"/>
          <w:color w:val="000000"/>
          <w:sz w:val="18"/>
          <w:szCs w:val="18"/>
          <w:shd w:val="clear" w:color="auto" w:fill="FFFFFF"/>
        </w:rPr>
      </w:pPr>
      <w:r w:rsidRPr="00546921">
        <w:rPr>
          <w:rFonts w:ascii="Verdana" w:hAnsi="Verdana" w:cs="Arial"/>
          <w:color w:val="000000"/>
          <w:sz w:val="18"/>
          <w:szCs w:val="18"/>
          <w:shd w:val="clear" w:color="auto" w:fill="FFFFFF"/>
        </w:rPr>
        <w:t>Regulation 362</w:t>
      </w:r>
      <w:r w:rsidR="00DC7DDA">
        <w:rPr>
          <w:rFonts w:ascii="Verdana" w:hAnsi="Verdana" w:cs="Arial"/>
          <w:color w:val="000000"/>
          <w:sz w:val="18"/>
          <w:szCs w:val="18"/>
          <w:shd w:val="clear" w:color="auto" w:fill="FFFFFF"/>
        </w:rPr>
        <w:t xml:space="preserve"> </w:t>
      </w:r>
      <w:r w:rsidR="00D56174" w:rsidRPr="00546921">
        <w:rPr>
          <w:rFonts w:ascii="Verdana" w:hAnsi="Verdana" w:cs="Arial"/>
          <w:color w:val="000000"/>
          <w:sz w:val="18"/>
          <w:szCs w:val="18"/>
          <w:shd w:val="clear" w:color="auto" w:fill="FFFFFF"/>
        </w:rPr>
        <w:t>in Government Gazette 38744 dated 28 April 2015 is a</w:t>
      </w:r>
      <w:r w:rsidR="00A56392" w:rsidRPr="00546921">
        <w:rPr>
          <w:rFonts w:ascii="Verdana" w:hAnsi="Verdana" w:cs="Arial"/>
          <w:color w:val="000000"/>
          <w:sz w:val="18"/>
          <w:szCs w:val="18"/>
          <w:shd w:val="clear" w:color="auto" w:fill="FFFFFF"/>
        </w:rPr>
        <w:t xml:space="preserve"> regulation in terms of items</w:t>
      </w:r>
      <w:r w:rsidR="00A56392" w:rsidRPr="00546921">
        <w:rPr>
          <w:rFonts w:ascii="Verdana" w:hAnsi="Verdana"/>
          <w:sz w:val="18"/>
          <w:szCs w:val="18"/>
        </w:rPr>
        <w:t> </w:t>
      </w:r>
      <w:r w:rsidR="00A56392" w:rsidRPr="00546921">
        <w:rPr>
          <w:rFonts w:ascii="Verdana" w:hAnsi="Verdana"/>
          <w:i/>
          <w:iCs/>
          <w:sz w:val="18"/>
          <w:szCs w:val="18"/>
        </w:rPr>
        <w:t>(a)</w:t>
      </w:r>
      <w:r w:rsidR="00A56392" w:rsidRPr="00546921">
        <w:rPr>
          <w:rFonts w:ascii="Verdana" w:hAnsi="Verdana"/>
          <w:sz w:val="18"/>
          <w:szCs w:val="18"/>
        </w:rPr>
        <w:t> </w:t>
      </w:r>
      <w:r w:rsidR="00A56392" w:rsidRPr="00546921">
        <w:rPr>
          <w:rFonts w:ascii="Verdana" w:hAnsi="Verdana" w:cs="Arial"/>
          <w:color w:val="000000"/>
          <w:sz w:val="18"/>
          <w:szCs w:val="18"/>
          <w:shd w:val="clear" w:color="auto" w:fill="FFFFFF"/>
        </w:rPr>
        <w:t>and</w:t>
      </w:r>
      <w:r w:rsidR="00A56392" w:rsidRPr="00546921">
        <w:rPr>
          <w:rFonts w:ascii="Verdana" w:hAnsi="Verdana"/>
          <w:sz w:val="18"/>
          <w:szCs w:val="18"/>
        </w:rPr>
        <w:t> </w:t>
      </w:r>
      <w:r w:rsidR="00A56392" w:rsidRPr="00546921">
        <w:rPr>
          <w:rFonts w:ascii="Verdana" w:hAnsi="Verdana"/>
          <w:i/>
          <w:iCs/>
          <w:sz w:val="18"/>
          <w:szCs w:val="18"/>
        </w:rPr>
        <w:t>(c)</w:t>
      </w:r>
      <w:r w:rsidR="00A56392" w:rsidRPr="00546921">
        <w:rPr>
          <w:rFonts w:ascii="Verdana" w:hAnsi="Verdana"/>
          <w:sz w:val="18"/>
          <w:szCs w:val="18"/>
        </w:rPr>
        <w:t> </w:t>
      </w:r>
      <w:r w:rsidR="00A56392" w:rsidRPr="00546921">
        <w:rPr>
          <w:rFonts w:ascii="Verdana" w:hAnsi="Verdana" w:cs="Arial"/>
          <w:color w:val="000000"/>
          <w:sz w:val="18"/>
          <w:szCs w:val="18"/>
          <w:shd w:val="clear" w:color="auto" w:fill="FFFFFF"/>
        </w:rPr>
        <w:t xml:space="preserve">of the definition of </w:t>
      </w:r>
      <w:r w:rsidR="00B43D56" w:rsidRPr="00546921">
        <w:rPr>
          <w:rFonts w:ascii="Verdana" w:hAnsi="Verdana" w:cs="Arial"/>
          <w:color w:val="000000"/>
          <w:sz w:val="18"/>
          <w:szCs w:val="18"/>
          <w:shd w:val="clear" w:color="auto" w:fill="FFFFFF"/>
        </w:rPr>
        <w:t>‘</w:t>
      </w:r>
      <w:r w:rsidR="00A56392" w:rsidRPr="00546921">
        <w:rPr>
          <w:rFonts w:ascii="Verdana" w:hAnsi="Verdana" w:cs="Arial"/>
          <w:color w:val="000000"/>
          <w:sz w:val="18"/>
          <w:szCs w:val="18"/>
          <w:shd w:val="clear" w:color="auto" w:fill="FFFFFF"/>
        </w:rPr>
        <w:t>determined value</w:t>
      </w:r>
      <w:r w:rsidR="00B43D56" w:rsidRPr="00546921">
        <w:rPr>
          <w:rFonts w:ascii="Verdana" w:hAnsi="Verdana" w:cs="Arial"/>
          <w:color w:val="000000"/>
          <w:sz w:val="18"/>
          <w:szCs w:val="18"/>
          <w:shd w:val="clear" w:color="auto" w:fill="FFFFFF"/>
        </w:rPr>
        <w:t>’</w:t>
      </w:r>
      <w:r w:rsidR="00A56392" w:rsidRPr="00546921">
        <w:rPr>
          <w:rFonts w:ascii="Verdana" w:hAnsi="Verdana" w:cs="Arial"/>
          <w:color w:val="000000"/>
          <w:sz w:val="18"/>
          <w:szCs w:val="18"/>
          <w:shd w:val="clear" w:color="auto" w:fill="FFFFFF"/>
        </w:rPr>
        <w:t xml:space="preserve"> in</w:t>
      </w:r>
      <w:r w:rsidR="00A56392" w:rsidRPr="00546921">
        <w:rPr>
          <w:rFonts w:ascii="Verdana" w:hAnsi="Verdana"/>
          <w:sz w:val="18"/>
          <w:szCs w:val="18"/>
        </w:rPr>
        <w:t> </w:t>
      </w:r>
      <w:r w:rsidR="00A56392" w:rsidRPr="00546921">
        <w:rPr>
          <w:rFonts w:ascii="Verdana" w:hAnsi="Verdana" w:cs="Arial"/>
          <w:color w:val="000000"/>
          <w:sz w:val="18"/>
          <w:szCs w:val="18"/>
          <w:shd w:val="clear" w:color="auto" w:fill="FFFFFF"/>
        </w:rPr>
        <w:t>para 7(1) of the Seventh Schedule</w:t>
      </w:r>
      <w:r w:rsidR="004B0198" w:rsidRPr="00546921">
        <w:rPr>
          <w:rFonts w:ascii="Verdana" w:hAnsi="Verdana" w:cs="Arial"/>
          <w:color w:val="000000"/>
          <w:sz w:val="18"/>
          <w:szCs w:val="18"/>
          <w:shd w:val="clear" w:color="auto" w:fill="FFFFFF"/>
        </w:rPr>
        <w:t xml:space="preserve"> to the Income Tax Act, 1962 regarding</w:t>
      </w:r>
      <w:r w:rsidR="00A56392" w:rsidRPr="00546921">
        <w:rPr>
          <w:rFonts w:ascii="Verdana" w:hAnsi="Verdana" w:cs="Arial"/>
          <w:color w:val="000000"/>
          <w:sz w:val="18"/>
          <w:szCs w:val="18"/>
          <w:shd w:val="clear" w:color="auto" w:fill="FFFFFF"/>
        </w:rPr>
        <w:t xml:space="preserve"> retail market value in respect of right of use of motor vehicle</w:t>
      </w:r>
      <w:r w:rsidR="004D1333" w:rsidRPr="00546921">
        <w:rPr>
          <w:rFonts w:ascii="Verdana" w:hAnsi="Verdana" w:cs="Arial"/>
          <w:color w:val="000000"/>
          <w:sz w:val="18"/>
          <w:szCs w:val="18"/>
          <w:shd w:val="clear" w:color="auto" w:fill="FFFFFF"/>
        </w:rPr>
        <w:t>.</w:t>
      </w:r>
    </w:p>
    <w:p w:rsidR="004D1333" w:rsidRPr="00546921" w:rsidRDefault="004D1333" w:rsidP="00B43D56">
      <w:pPr>
        <w:jc w:val="both"/>
        <w:rPr>
          <w:rFonts w:ascii="Verdana" w:hAnsi="Verdana" w:cs="Arial"/>
          <w:color w:val="000000"/>
          <w:sz w:val="18"/>
          <w:szCs w:val="18"/>
          <w:shd w:val="clear" w:color="auto" w:fill="FFFFFF"/>
        </w:rPr>
      </w:pPr>
    </w:p>
    <w:p w:rsidR="00D56174" w:rsidRPr="00BF7DD7" w:rsidRDefault="00D56174" w:rsidP="00B43D56">
      <w:pPr>
        <w:jc w:val="both"/>
        <w:rPr>
          <w:rFonts w:ascii="Verdana" w:hAnsi="Verdana" w:cs="Arial"/>
          <w:color w:val="000000"/>
          <w:sz w:val="18"/>
          <w:szCs w:val="18"/>
          <w:shd w:val="clear" w:color="auto" w:fill="FFFFFF"/>
        </w:rPr>
      </w:pPr>
      <w:r w:rsidRPr="00546921">
        <w:rPr>
          <w:rFonts w:ascii="Verdana" w:hAnsi="Verdana" w:cs="Arial"/>
          <w:color w:val="000000"/>
          <w:sz w:val="18"/>
          <w:szCs w:val="18"/>
          <w:shd w:val="clear" w:color="auto" w:fill="FFFFFF"/>
        </w:rPr>
        <w:t>Regulation 447 in Government Gazette 38836 of 29 May 2015 is in respect of the requirements for registration as a VAT vendor.</w:t>
      </w:r>
    </w:p>
    <w:p w:rsidR="00D56174" w:rsidRPr="00BF7DD7" w:rsidRDefault="00D56174" w:rsidP="00B43D56">
      <w:pPr>
        <w:jc w:val="both"/>
        <w:rPr>
          <w:rFonts w:ascii="Verdana" w:hAnsi="Verdana" w:cs="Arial"/>
          <w:color w:val="000000"/>
          <w:sz w:val="18"/>
          <w:szCs w:val="18"/>
          <w:shd w:val="clear" w:color="auto" w:fill="FFFFFF"/>
        </w:rPr>
      </w:pPr>
    </w:p>
    <w:p w:rsidR="0074030B" w:rsidRPr="00B43D56" w:rsidRDefault="0074030B" w:rsidP="008F1FDE">
      <w:pPr>
        <w:jc w:val="both"/>
        <w:rPr>
          <w:rFonts w:ascii="Arial" w:hAnsi="Arial" w:cs="Arial"/>
          <w:b/>
          <w:color w:val="000000"/>
          <w:sz w:val="24"/>
          <w:szCs w:val="24"/>
          <w:shd w:val="clear" w:color="auto" w:fill="FFFFFF"/>
        </w:rPr>
      </w:pPr>
    </w:p>
    <w:p w:rsidR="0074030B" w:rsidRPr="00B43D56" w:rsidRDefault="00B43D56" w:rsidP="0074030B">
      <w:pPr>
        <w:jc w:val="center"/>
        <w:rPr>
          <w:rFonts w:ascii="Verdana" w:hAnsi="Verdana" w:cs="Arial"/>
          <w:b/>
          <w:color w:val="00B0F0"/>
          <w:sz w:val="24"/>
          <w:szCs w:val="24"/>
          <w:lang w:val="en-ZA" w:eastAsia="en-ZA"/>
        </w:rPr>
      </w:pPr>
      <w:r w:rsidRPr="00B43D56">
        <w:rPr>
          <w:rFonts w:ascii="Verdana" w:hAnsi="Verdana"/>
          <w:b/>
          <w:color w:val="008080"/>
          <w:sz w:val="24"/>
          <w:szCs w:val="24"/>
        </w:rPr>
        <w:t>DOUBLE TAX AGREEMENTS</w:t>
      </w:r>
    </w:p>
    <w:p w:rsidR="0074030B" w:rsidRPr="00B43D56" w:rsidRDefault="0074030B" w:rsidP="0074030B">
      <w:pPr>
        <w:jc w:val="both"/>
        <w:rPr>
          <w:rFonts w:ascii="Verdana" w:hAnsi="Verdana" w:cs="Arial"/>
          <w:b/>
          <w:sz w:val="24"/>
          <w:szCs w:val="24"/>
          <w:lang w:val="en-ZA" w:eastAsia="en-ZA"/>
        </w:rPr>
      </w:pPr>
    </w:p>
    <w:p w:rsidR="0074030B" w:rsidRDefault="0074030B" w:rsidP="0074030B">
      <w:pPr>
        <w:jc w:val="both"/>
        <w:rPr>
          <w:rFonts w:ascii="Verdana" w:hAnsi="Verdana" w:cs="Arial"/>
          <w:sz w:val="18"/>
          <w:szCs w:val="18"/>
          <w:lang w:val="en-ZA" w:eastAsia="en-ZA"/>
        </w:rPr>
      </w:pPr>
      <w:r w:rsidRPr="00546921">
        <w:rPr>
          <w:rFonts w:ascii="Verdana" w:hAnsi="Verdana" w:cs="Arial"/>
          <w:sz w:val="18"/>
          <w:szCs w:val="18"/>
          <w:lang w:val="en-ZA" w:eastAsia="en-ZA"/>
        </w:rPr>
        <w:t>On 17 June 2015 SARS released a double tax agreement with Mauritius, (s</w:t>
      </w:r>
      <w:r w:rsidR="00DC7DDA">
        <w:rPr>
          <w:rFonts w:ascii="Verdana" w:hAnsi="Verdana" w:cs="Arial"/>
          <w:sz w:val="18"/>
          <w:szCs w:val="18"/>
          <w:lang w:val="en-ZA" w:eastAsia="en-ZA"/>
        </w:rPr>
        <w:t>ee GN 471 published in GG 38862</w:t>
      </w:r>
      <w:r w:rsidR="00243C83" w:rsidRPr="00546921">
        <w:rPr>
          <w:rFonts w:ascii="Verdana" w:hAnsi="Verdana" w:cs="Arial"/>
          <w:sz w:val="18"/>
          <w:szCs w:val="18"/>
          <w:lang w:val="en-ZA" w:eastAsia="en-ZA"/>
        </w:rPr>
        <w:t xml:space="preserve"> </w:t>
      </w:r>
      <w:r w:rsidRPr="00546921">
        <w:rPr>
          <w:rFonts w:ascii="Verdana" w:hAnsi="Verdana" w:cs="Arial"/>
          <w:sz w:val="18"/>
          <w:szCs w:val="18"/>
          <w:lang w:val="en-ZA" w:eastAsia="en-ZA"/>
        </w:rPr>
        <w:t>of 17 June 2015) which came into force on 28 May 2015. This agreement has been approved by Parliament.</w:t>
      </w:r>
    </w:p>
    <w:p w:rsidR="0095074D" w:rsidRPr="00655261" w:rsidRDefault="0095074D" w:rsidP="008F1FDE">
      <w:pPr>
        <w:jc w:val="both"/>
        <w:rPr>
          <w:rFonts w:ascii="Arial" w:hAnsi="Arial" w:cs="Arial"/>
          <w:color w:val="000000"/>
          <w:sz w:val="17"/>
          <w:szCs w:val="17"/>
          <w:shd w:val="clear" w:color="auto" w:fill="FFFFFF"/>
        </w:rPr>
      </w:pPr>
    </w:p>
    <w:p w:rsidR="007A2C3F" w:rsidRPr="00B43D56" w:rsidRDefault="007A2C3F" w:rsidP="008F1FDE">
      <w:pPr>
        <w:jc w:val="both"/>
        <w:rPr>
          <w:rFonts w:ascii="Verdana" w:hAnsi="Verdana" w:cs="Arial"/>
          <w:b/>
          <w:sz w:val="24"/>
          <w:szCs w:val="24"/>
          <w:lang w:val="en-ZA" w:eastAsia="en-ZA"/>
        </w:rPr>
      </w:pPr>
    </w:p>
    <w:p w:rsidR="00CA4CFE" w:rsidRPr="00B43D56" w:rsidRDefault="00B43D56" w:rsidP="00655261">
      <w:pPr>
        <w:jc w:val="center"/>
        <w:rPr>
          <w:rFonts w:ascii="Verdana" w:hAnsi="Verdana" w:cs="Arial"/>
          <w:b/>
          <w:color w:val="00B0F0"/>
          <w:sz w:val="24"/>
          <w:szCs w:val="24"/>
          <w:lang w:val="en-ZA" w:eastAsia="en-ZA"/>
        </w:rPr>
      </w:pPr>
      <w:r w:rsidRPr="00B43D56">
        <w:rPr>
          <w:rFonts w:ascii="Verdana" w:hAnsi="Verdana"/>
          <w:b/>
          <w:color w:val="008080"/>
          <w:sz w:val="24"/>
          <w:szCs w:val="24"/>
        </w:rPr>
        <w:t>TAX INFORMATION EXCHANGE AGREEMENTS</w:t>
      </w:r>
    </w:p>
    <w:p w:rsidR="00CA4CFE" w:rsidRPr="00B43D56" w:rsidRDefault="00CA4CFE" w:rsidP="008F1FDE">
      <w:pPr>
        <w:jc w:val="both"/>
        <w:rPr>
          <w:rFonts w:ascii="Verdana" w:hAnsi="Verdana" w:cs="Arial"/>
          <w:b/>
          <w:sz w:val="24"/>
          <w:szCs w:val="24"/>
          <w:lang w:val="en-ZA" w:eastAsia="en-ZA"/>
        </w:rPr>
      </w:pPr>
    </w:p>
    <w:p w:rsidR="00922E71" w:rsidRDefault="00922E71" w:rsidP="008F1FDE">
      <w:pPr>
        <w:jc w:val="both"/>
        <w:rPr>
          <w:rFonts w:ascii="Verdana" w:hAnsi="Verdana" w:cs="Arial"/>
          <w:sz w:val="18"/>
          <w:szCs w:val="18"/>
          <w:lang w:val="en-ZA" w:eastAsia="en-ZA"/>
        </w:rPr>
      </w:pPr>
      <w:r>
        <w:rPr>
          <w:rFonts w:ascii="Verdana" w:hAnsi="Verdana" w:cs="Arial"/>
          <w:sz w:val="18"/>
          <w:szCs w:val="18"/>
          <w:lang w:val="en-ZA" w:eastAsia="en-ZA"/>
        </w:rPr>
        <w:t>The following Tax Information Exchange Agreements (</w:t>
      </w:r>
      <w:r w:rsidR="00DC2C98">
        <w:rPr>
          <w:rFonts w:ascii="Verdana" w:hAnsi="Verdana" w:cs="Arial"/>
          <w:sz w:val="18"/>
          <w:szCs w:val="18"/>
          <w:lang w:val="en-ZA" w:eastAsia="en-ZA"/>
        </w:rPr>
        <w:t>‘</w:t>
      </w:r>
      <w:r>
        <w:rPr>
          <w:rFonts w:ascii="Verdana" w:hAnsi="Verdana" w:cs="Arial"/>
          <w:sz w:val="18"/>
          <w:szCs w:val="18"/>
          <w:lang w:val="en-ZA" w:eastAsia="en-ZA"/>
        </w:rPr>
        <w:t>TIEAs</w:t>
      </w:r>
      <w:r w:rsidR="00DC2C98">
        <w:rPr>
          <w:rFonts w:ascii="Verdana" w:hAnsi="Verdana" w:cs="Arial"/>
          <w:sz w:val="18"/>
          <w:szCs w:val="18"/>
          <w:lang w:val="en-ZA" w:eastAsia="en-ZA"/>
        </w:rPr>
        <w:t>’</w:t>
      </w:r>
      <w:r>
        <w:rPr>
          <w:rFonts w:ascii="Verdana" w:hAnsi="Verdana" w:cs="Arial"/>
          <w:sz w:val="18"/>
          <w:szCs w:val="18"/>
          <w:lang w:val="en-ZA" w:eastAsia="en-ZA"/>
        </w:rPr>
        <w:t>) have been signed</w:t>
      </w:r>
      <w:r w:rsidR="004B0198">
        <w:rPr>
          <w:rFonts w:ascii="Verdana" w:hAnsi="Verdana" w:cs="Arial"/>
          <w:sz w:val="18"/>
          <w:szCs w:val="18"/>
          <w:lang w:val="en-ZA" w:eastAsia="en-ZA"/>
        </w:rPr>
        <w:t>:</w:t>
      </w:r>
    </w:p>
    <w:p w:rsidR="00922E71" w:rsidRDefault="00922E71" w:rsidP="008F1FDE">
      <w:pPr>
        <w:jc w:val="both"/>
        <w:rPr>
          <w:rFonts w:ascii="Verdana" w:hAnsi="Verdana" w:cs="Arial"/>
          <w:sz w:val="18"/>
          <w:szCs w:val="18"/>
          <w:lang w:val="en-ZA" w:eastAsia="en-ZA"/>
        </w:rPr>
      </w:pPr>
    </w:p>
    <w:p w:rsidR="00CA4CFE" w:rsidRDefault="00DC2C98" w:rsidP="008F1FDE">
      <w:pPr>
        <w:jc w:val="both"/>
        <w:rPr>
          <w:rFonts w:ascii="Verdana" w:hAnsi="Verdana" w:cs="Arial"/>
          <w:sz w:val="18"/>
          <w:szCs w:val="18"/>
          <w:lang w:val="en-ZA" w:eastAsia="en-ZA"/>
        </w:rPr>
      </w:pPr>
      <w:r>
        <w:rPr>
          <w:rFonts w:ascii="Verdana" w:hAnsi="Verdana" w:cs="Arial"/>
          <w:sz w:val="18"/>
          <w:szCs w:val="18"/>
          <w:lang w:val="en-ZA" w:eastAsia="en-ZA"/>
        </w:rPr>
        <w:t xml:space="preserve">A TIEA </w:t>
      </w:r>
      <w:r w:rsidR="008D7E03">
        <w:rPr>
          <w:rFonts w:ascii="Verdana" w:hAnsi="Verdana" w:cs="Arial"/>
          <w:sz w:val="18"/>
          <w:szCs w:val="18"/>
          <w:lang w:val="en-ZA" w:eastAsia="en-ZA"/>
        </w:rPr>
        <w:t xml:space="preserve">with </w:t>
      </w:r>
      <w:r w:rsidR="00CA4CFE">
        <w:rPr>
          <w:rFonts w:ascii="Verdana" w:hAnsi="Verdana" w:cs="Arial"/>
          <w:sz w:val="18"/>
          <w:szCs w:val="18"/>
          <w:lang w:val="en-ZA" w:eastAsia="en-ZA"/>
        </w:rPr>
        <w:t xml:space="preserve">St Kitts and Nevis </w:t>
      </w:r>
      <w:r w:rsidR="008D7E03">
        <w:rPr>
          <w:rFonts w:ascii="Verdana" w:hAnsi="Verdana" w:cs="Arial"/>
          <w:sz w:val="18"/>
          <w:szCs w:val="18"/>
          <w:lang w:val="en-ZA" w:eastAsia="en-ZA"/>
        </w:rPr>
        <w:t xml:space="preserve">was </w:t>
      </w:r>
      <w:r w:rsidR="00CA4CFE">
        <w:rPr>
          <w:rFonts w:ascii="Verdana" w:hAnsi="Verdana" w:cs="Arial"/>
          <w:sz w:val="18"/>
          <w:szCs w:val="18"/>
          <w:lang w:val="en-ZA" w:eastAsia="en-ZA"/>
        </w:rPr>
        <w:t>signed on 7 April 2015</w:t>
      </w:r>
      <w:r w:rsidR="00922E71">
        <w:rPr>
          <w:rFonts w:ascii="Verdana" w:hAnsi="Verdana" w:cs="Arial"/>
          <w:sz w:val="18"/>
          <w:szCs w:val="18"/>
          <w:lang w:val="en-ZA" w:eastAsia="en-ZA"/>
        </w:rPr>
        <w:t>, but has not been ratified</w:t>
      </w:r>
      <w:r w:rsidR="008D7E03">
        <w:rPr>
          <w:rFonts w:ascii="Verdana" w:hAnsi="Verdana" w:cs="Arial"/>
          <w:sz w:val="18"/>
          <w:szCs w:val="18"/>
          <w:lang w:val="en-ZA" w:eastAsia="en-ZA"/>
        </w:rPr>
        <w:t>.</w:t>
      </w:r>
    </w:p>
    <w:p w:rsidR="00CA4CFE" w:rsidRDefault="00CA4CFE" w:rsidP="008F1FDE">
      <w:pPr>
        <w:jc w:val="both"/>
        <w:rPr>
          <w:rFonts w:ascii="Verdana" w:hAnsi="Verdana" w:cs="Arial"/>
          <w:sz w:val="18"/>
          <w:szCs w:val="18"/>
          <w:lang w:val="en-ZA" w:eastAsia="en-ZA"/>
        </w:rPr>
      </w:pPr>
    </w:p>
    <w:p w:rsidR="00CA4CFE" w:rsidRDefault="00DC2C98" w:rsidP="008F1FDE">
      <w:pPr>
        <w:jc w:val="both"/>
        <w:rPr>
          <w:rFonts w:ascii="Verdana" w:hAnsi="Verdana" w:cs="Arial"/>
          <w:sz w:val="18"/>
          <w:szCs w:val="18"/>
          <w:lang w:val="en-ZA" w:eastAsia="en-ZA"/>
        </w:rPr>
      </w:pPr>
      <w:r>
        <w:rPr>
          <w:rFonts w:ascii="Verdana" w:hAnsi="Verdana" w:cs="Arial"/>
          <w:sz w:val="18"/>
          <w:szCs w:val="18"/>
          <w:lang w:val="en-ZA" w:eastAsia="en-ZA"/>
        </w:rPr>
        <w:t xml:space="preserve">A TIEA </w:t>
      </w:r>
      <w:r w:rsidR="00922E71">
        <w:rPr>
          <w:rFonts w:ascii="Verdana" w:hAnsi="Verdana" w:cs="Arial"/>
          <w:sz w:val="18"/>
          <w:szCs w:val="18"/>
          <w:lang w:val="en-ZA" w:eastAsia="en-ZA"/>
        </w:rPr>
        <w:t xml:space="preserve">with </w:t>
      </w:r>
      <w:r w:rsidR="00CA4CFE">
        <w:rPr>
          <w:rFonts w:ascii="Verdana" w:hAnsi="Verdana" w:cs="Arial"/>
          <w:sz w:val="18"/>
          <w:szCs w:val="18"/>
          <w:lang w:val="en-ZA" w:eastAsia="en-ZA"/>
        </w:rPr>
        <w:t xml:space="preserve">Lichtenstein </w:t>
      </w:r>
      <w:r>
        <w:rPr>
          <w:rFonts w:ascii="Verdana" w:hAnsi="Verdana" w:cs="Arial"/>
          <w:sz w:val="18"/>
          <w:szCs w:val="18"/>
          <w:lang w:val="en-ZA" w:eastAsia="en-ZA"/>
        </w:rPr>
        <w:t xml:space="preserve">came into force on </w:t>
      </w:r>
      <w:r w:rsidR="00CA4CFE">
        <w:rPr>
          <w:rFonts w:ascii="Verdana" w:hAnsi="Verdana" w:cs="Arial"/>
          <w:sz w:val="18"/>
          <w:szCs w:val="18"/>
          <w:lang w:val="en-ZA" w:eastAsia="en-ZA"/>
        </w:rPr>
        <w:t>23 May 2015</w:t>
      </w:r>
      <w:r w:rsidR="00922E71">
        <w:rPr>
          <w:rFonts w:ascii="Verdana" w:hAnsi="Verdana" w:cs="Arial"/>
          <w:sz w:val="18"/>
          <w:szCs w:val="18"/>
          <w:lang w:val="en-ZA" w:eastAsia="en-ZA"/>
        </w:rPr>
        <w:t xml:space="preserve">; see Government Gazette </w:t>
      </w:r>
      <w:r w:rsidR="00922E71" w:rsidRPr="00655261">
        <w:rPr>
          <w:rFonts w:ascii="Verdana" w:hAnsi="Verdana" w:cs="Arial"/>
          <w:sz w:val="18"/>
          <w:szCs w:val="18"/>
          <w:lang w:val="en-ZA" w:eastAsia="en-ZA"/>
        </w:rPr>
        <w:t>38812 dated 27 May 2015</w:t>
      </w:r>
      <w:r w:rsidR="004F5355" w:rsidRPr="00655261">
        <w:rPr>
          <w:rFonts w:ascii="Verdana" w:hAnsi="Verdana" w:cs="Arial"/>
          <w:sz w:val="18"/>
          <w:szCs w:val="18"/>
          <w:lang w:val="en-ZA" w:eastAsia="en-ZA"/>
        </w:rPr>
        <w:t xml:space="preserve"> and </w:t>
      </w:r>
      <w:r w:rsidR="004B0198">
        <w:rPr>
          <w:rFonts w:ascii="Verdana" w:hAnsi="Verdana" w:cs="Arial"/>
          <w:sz w:val="18"/>
          <w:szCs w:val="18"/>
          <w:lang w:val="en-ZA" w:eastAsia="en-ZA"/>
        </w:rPr>
        <w:t xml:space="preserve">it </w:t>
      </w:r>
      <w:r w:rsidR="004F5355" w:rsidRPr="00655261">
        <w:rPr>
          <w:rFonts w:ascii="Verdana" w:hAnsi="Verdana" w:cs="Arial"/>
          <w:sz w:val="18"/>
          <w:szCs w:val="18"/>
          <w:lang w:val="en-ZA" w:eastAsia="en-ZA"/>
        </w:rPr>
        <w:t>has been approved by Parliament.</w:t>
      </w:r>
    </w:p>
    <w:p w:rsidR="000E189D" w:rsidRDefault="000E189D" w:rsidP="008F1FDE">
      <w:pPr>
        <w:jc w:val="both"/>
        <w:rPr>
          <w:rFonts w:ascii="Verdana" w:hAnsi="Verdana" w:cs="Arial"/>
          <w:sz w:val="18"/>
          <w:szCs w:val="18"/>
          <w:lang w:val="en-ZA" w:eastAsia="en-ZA"/>
        </w:rPr>
      </w:pPr>
    </w:p>
    <w:p w:rsidR="000E189D" w:rsidRPr="008F1FDE" w:rsidRDefault="000E189D" w:rsidP="00655261">
      <w:pPr>
        <w:jc w:val="center"/>
        <w:rPr>
          <w:rFonts w:ascii="Verdana" w:hAnsi="Verdana" w:cs="Arial"/>
          <w:sz w:val="18"/>
          <w:szCs w:val="18"/>
          <w:lang w:val="en-ZA" w:eastAsia="en-ZA"/>
        </w:rPr>
      </w:pPr>
      <w:r>
        <w:rPr>
          <w:rFonts w:ascii="Verdana" w:hAnsi="Verdana" w:cs="Arial"/>
          <w:sz w:val="18"/>
          <w:szCs w:val="18"/>
          <w:lang w:val="en-ZA" w:eastAsia="en-ZA"/>
        </w:rPr>
        <w:t>oo0oo</w:t>
      </w:r>
    </w:p>
    <w:sectPr w:rsidR="000E189D" w:rsidRPr="008F1FDE" w:rsidSect="009943F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6C0" w:rsidRDefault="00B856C0" w:rsidP="00E875A9">
      <w:r>
        <w:separator/>
      </w:r>
    </w:p>
  </w:endnote>
  <w:endnote w:type="continuationSeparator" w:id="0">
    <w:p w:rsidR="00B856C0" w:rsidRDefault="00B856C0" w:rsidP="00E87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9" w:rsidRDefault="00E875A9">
    <w:pPr>
      <w:pStyle w:val="Footer"/>
    </w:pPr>
  </w:p>
  <w:p w:rsidR="00E875A9" w:rsidRDefault="00E87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6C0" w:rsidRDefault="00B856C0" w:rsidP="00E875A9">
      <w:r>
        <w:separator/>
      </w:r>
    </w:p>
  </w:footnote>
  <w:footnote w:type="continuationSeparator" w:id="0">
    <w:p w:rsidR="00B856C0" w:rsidRDefault="00B856C0" w:rsidP="00E87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8ED"/>
    <w:multiLevelType w:val="multilevel"/>
    <w:tmpl w:val="09EE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633C0"/>
    <w:multiLevelType w:val="multilevel"/>
    <w:tmpl w:val="30C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F4398"/>
    <w:multiLevelType w:val="multilevel"/>
    <w:tmpl w:val="E496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B5A30"/>
    <w:multiLevelType w:val="multilevel"/>
    <w:tmpl w:val="6E50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810A8"/>
    <w:multiLevelType w:val="multilevel"/>
    <w:tmpl w:val="56A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B6834"/>
    <w:multiLevelType w:val="multilevel"/>
    <w:tmpl w:val="A75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92A4D"/>
    <w:multiLevelType w:val="hybridMultilevel"/>
    <w:tmpl w:val="148810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FCF7A31"/>
    <w:multiLevelType w:val="multilevel"/>
    <w:tmpl w:val="F6F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405C7"/>
    <w:multiLevelType w:val="multilevel"/>
    <w:tmpl w:val="A4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4208A"/>
    <w:multiLevelType w:val="multilevel"/>
    <w:tmpl w:val="FC6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A36B1"/>
    <w:multiLevelType w:val="multilevel"/>
    <w:tmpl w:val="C468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56016"/>
    <w:multiLevelType w:val="multilevel"/>
    <w:tmpl w:val="ED9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2613E"/>
    <w:multiLevelType w:val="multilevel"/>
    <w:tmpl w:val="807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E31F0C"/>
    <w:multiLevelType w:val="multilevel"/>
    <w:tmpl w:val="6D2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303813"/>
    <w:multiLevelType w:val="hybridMultilevel"/>
    <w:tmpl w:val="9DEA976C"/>
    <w:lvl w:ilvl="0" w:tplc="2F40235A">
      <w:start w:val="3"/>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4826196C"/>
    <w:multiLevelType w:val="hybridMultilevel"/>
    <w:tmpl w:val="E2C895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E571C5A"/>
    <w:multiLevelType w:val="multilevel"/>
    <w:tmpl w:val="DB3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E7565"/>
    <w:multiLevelType w:val="multilevel"/>
    <w:tmpl w:val="F36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C8597A"/>
    <w:multiLevelType w:val="multilevel"/>
    <w:tmpl w:val="D33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304F8C"/>
    <w:multiLevelType w:val="multilevel"/>
    <w:tmpl w:val="C748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BE66DD"/>
    <w:multiLevelType w:val="multilevel"/>
    <w:tmpl w:val="171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133BF2"/>
    <w:multiLevelType w:val="multilevel"/>
    <w:tmpl w:val="F4C2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DA5120"/>
    <w:multiLevelType w:val="hybridMultilevel"/>
    <w:tmpl w:val="18B671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A2303D5"/>
    <w:multiLevelType w:val="multilevel"/>
    <w:tmpl w:val="8026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98311A"/>
    <w:multiLevelType w:val="multilevel"/>
    <w:tmpl w:val="CC8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C01197"/>
    <w:multiLevelType w:val="multilevel"/>
    <w:tmpl w:val="E2F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0B3937"/>
    <w:multiLevelType w:val="multilevel"/>
    <w:tmpl w:val="4FBA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40D99"/>
    <w:multiLevelType w:val="multilevel"/>
    <w:tmpl w:val="B0A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D3120B"/>
    <w:multiLevelType w:val="multilevel"/>
    <w:tmpl w:val="B08C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86BA2"/>
    <w:multiLevelType w:val="multilevel"/>
    <w:tmpl w:val="CB9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6"/>
  </w:num>
  <w:num w:numId="4">
    <w:abstractNumId w:val="13"/>
  </w:num>
  <w:num w:numId="5">
    <w:abstractNumId w:val="18"/>
  </w:num>
  <w:num w:numId="6">
    <w:abstractNumId w:val="17"/>
  </w:num>
  <w:num w:numId="7">
    <w:abstractNumId w:val="29"/>
  </w:num>
  <w:num w:numId="8">
    <w:abstractNumId w:val="11"/>
  </w:num>
  <w:num w:numId="9">
    <w:abstractNumId w:val="24"/>
  </w:num>
  <w:num w:numId="10">
    <w:abstractNumId w:val="5"/>
  </w:num>
  <w:num w:numId="11">
    <w:abstractNumId w:val="21"/>
  </w:num>
  <w:num w:numId="12">
    <w:abstractNumId w:val="12"/>
  </w:num>
  <w:num w:numId="13">
    <w:abstractNumId w:val="27"/>
  </w:num>
  <w:num w:numId="14">
    <w:abstractNumId w:val="8"/>
  </w:num>
  <w:num w:numId="15">
    <w:abstractNumId w:val="14"/>
  </w:num>
  <w:num w:numId="16">
    <w:abstractNumId w:val="28"/>
  </w:num>
  <w:num w:numId="17">
    <w:abstractNumId w:val="25"/>
  </w:num>
  <w:num w:numId="18">
    <w:abstractNumId w:val="2"/>
  </w:num>
  <w:num w:numId="19">
    <w:abstractNumId w:val="26"/>
  </w:num>
  <w:num w:numId="20">
    <w:abstractNumId w:val="19"/>
  </w:num>
  <w:num w:numId="21">
    <w:abstractNumId w:val="1"/>
  </w:num>
  <w:num w:numId="22">
    <w:abstractNumId w:val="15"/>
  </w:num>
  <w:num w:numId="23">
    <w:abstractNumId w:val="23"/>
  </w:num>
  <w:num w:numId="24">
    <w:abstractNumId w:val="6"/>
  </w:num>
  <w:num w:numId="25">
    <w:abstractNumId w:val="22"/>
  </w:num>
  <w:num w:numId="26">
    <w:abstractNumId w:val="4"/>
  </w:num>
  <w:num w:numId="27">
    <w:abstractNumId w:val="9"/>
  </w:num>
  <w:num w:numId="28">
    <w:abstractNumId w:val="7"/>
  </w:num>
  <w:num w:numId="29">
    <w:abstractNumId w:val="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docVars>
    <w:docVar w:name="dgnword-docGUID" w:val="{87ADB7DA-CD3A-43D5-99D7-C7080328EF15}"/>
    <w:docVar w:name="dgnword-eventsink" w:val="200520192"/>
  </w:docVars>
  <w:rsids>
    <w:rsidRoot w:val="005366CE"/>
    <w:rsid w:val="00000CDA"/>
    <w:rsid w:val="00001A11"/>
    <w:rsid w:val="000022A8"/>
    <w:rsid w:val="00002AEF"/>
    <w:rsid w:val="00002B0C"/>
    <w:rsid w:val="0000354F"/>
    <w:rsid w:val="00003B86"/>
    <w:rsid w:val="00005C36"/>
    <w:rsid w:val="00005D88"/>
    <w:rsid w:val="00005DFA"/>
    <w:rsid w:val="00006F93"/>
    <w:rsid w:val="000075B3"/>
    <w:rsid w:val="00007812"/>
    <w:rsid w:val="000101BC"/>
    <w:rsid w:val="00010E17"/>
    <w:rsid w:val="00011153"/>
    <w:rsid w:val="00011268"/>
    <w:rsid w:val="00011847"/>
    <w:rsid w:val="00011855"/>
    <w:rsid w:val="00012807"/>
    <w:rsid w:val="00012B91"/>
    <w:rsid w:val="0001305D"/>
    <w:rsid w:val="00013664"/>
    <w:rsid w:val="000138DB"/>
    <w:rsid w:val="00013F1C"/>
    <w:rsid w:val="00014060"/>
    <w:rsid w:val="000143D8"/>
    <w:rsid w:val="000155F6"/>
    <w:rsid w:val="0001591F"/>
    <w:rsid w:val="00015C1C"/>
    <w:rsid w:val="00015DFF"/>
    <w:rsid w:val="00016FBC"/>
    <w:rsid w:val="00017EB4"/>
    <w:rsid w:val="00020260"/>
    <w:rsid w:val="00021807"/>
    <w:rsid w:val="000224DE"/>
    <w:rsid w:val="00022A73"/>
    <w:rsid w:val="00022BEF"/>
    <w:rsid w:val="00023377"/>
    <w:rsid w:val="00023627"/>
    <w:rsid w:val="00023D6E"/>
    <w:rsid w:val="00023EE2"/>
    <w:rsid w:val="00025043"/>
    <w:rsid w:val="00025657"/>
    <w:rsid w:val="00025731"/>
    <w:rsid w:val="0002587B"/>
    <w:rsid w:val="00026197"/>
    <w:rsid w:val="000266D6"/>
    <w:rsid w:val="00026EF6"/>
    <w:rsid w:val="00027169"/>
    <w:rsid w:val="0003008B"/>
    <w:rsid w:val="0003390C"/>
    <w:rsid w:val="000339CC"/>
    <w:rsid w:val="00033C7C"/>
    <w:rsid w:val="00034373"/>
    <w:rsid w:val="00034383"/>
    <w:rsid w:val="00034464"/>
    <w:rsid w:val="000346C6"/>
    <w:rsid w:val="0003496B"/>
    <w:rsid w:val="00035308"/>
    <w:rsid w:val="00035E32"/>
    <w:rsid w:val="00036458"/>
    <w:rsid w:val="000370DA"/>
    <w:rsid w:val="00037422"/>
    <w:rsid w:val="00037C71"/>
    <w:rsid w:val="00041600"/>
    <w:rsid w:val="0004291C"/>
    <w:rsid w:val="0004295E"/>
    <w:rsid w:val="00042F82"/>
    <w:rsid w:val="0004308B"/>
    <w:rsid w:val="000440E6"/>
    <w:rsid w:val="00044741"/>
    <w:rsid w:val="0004494D"/>
    <w:rsid w:val="00044FD1"/>
    <w:rsid w:val="00045E3A"/>
    <w:rsid w:val="0004661F"/>
    <w:rsid w:val="000471E6"/>
    <w:rsid w:val="000474AA"/>
    <w:rsid w:val="0004753A"/>
    <w:rsid w:val="000478F7"/>
    <w:rsid w:val="00050188"/>
    <w:rsid w:val="000504D2"/>
    <w:rsid w:val="0005075E"/>
    <w:rsid w:val="00050ABF"/>
    <w:rsid w:val="00050C06"/>
    <w:rsid w:val="00050C44"/>
    <w:rsid w:val="000513AA"/>
    <w:rsid w:val="00051BFC"/>
    <w:rsid w:val="00052B91"/>
    <w:rsid w:val="000543AC"/>
    <w:rsid w:val="00054DA2"/>
    <w:rsid w:val="00055231"/>
    <w:rsid w:val="000553CF"/>
    <w:rsid w:val="00055C16"/>
    <w:rsid w:val="00056336"/>
    <w:rsid w:val="0005783F"/>
    <w:rsid w:val="000579CC"/>
    <w:rsid w:val="00060283"/>
    <w:rsid w:val="00060C30"/>
    <w:rsid w:val="00060D68"/>
    <w:rsid w:val="00061FCA"/>
    <w:rsid w:val="00062642"/>
    <w:rsid w:val="0006278D"/>
    <w:rsid w:val="00062A2B"/>
    <w:rsid w:val="00062CFF"/>
    <w:rsid w:val="00062E56"/>
    <w:rsid w:val="00062E86"/>
    <w:rsid w:val="000633E2"/>
    <w:rsid w:val="00063B58"/>
    <w:rsid w:val="00064337"/>
    <w:rsid w:val="00064E70"/>
    <w:rsid w:val="00064F9E"/>
    <w:rsid w:val="0006532D"/>
    <w:rsid w:val="000656DC"/>
    <w:rsid w:val="0006577F"/>
    <w:rsid w:val="000657D3"/>
    <w:rsid w:val="00065B0E"/>
    <w:rsid w:val="00065B75"/>
    <w:rsid w:val="00066172"/>
    <w:rsid w:val="0006775F"/>
    <w:rsid w:val="00067997"/>
    <w:rsid w:val="00067ADD"/>
    <w:rsid w:val="00070371"/>
    <w:rsid w:val="000709F1"/>
    <w:rsid w:val="00070C7A"/>
    <w:rsid w:val="0007236D"/>
    <w:rsid w:val="00072747"/>
    <w:rsid w:val="00072E8F"/>
    <w:rsid w:val="00073B95"/>
    <w:rsid w:val="00074968"/>
    <w:rsid w:val="00075B98"/>
    <w:rsid w:val="00076345"/>
    <w:rsid w:val="0007656E"/>
    <w:rsid w:val="00076E44"/>
    <w:rsid w:val="000770F1"/>
    <w:rsid w:val="00077746"/>
    <w:rsid w:val="00077CF1"/>
    <w:rsid w:val="00077DE8"/>
    <w:rsid w:val="00080656"/>
    <w:rsid w:val="00080D47"/>
    <w:rsid w:val="0008202A"/>
    <w:rsid w:val="00082A8A"/>
    <w:rsid w:val="000835D6"/>
    <w:rsid w:val="00084C82"/>
    <w:rsid w:val="0008529B"/>
    <w:rsid w:val="00085B4D"/>
    <w:rsid w:val="00087AB3"/>
    <w:rsid w:val="00087DD7"/>
    <w:rsid w:val="00090EDB"/>
    <w:rsid w:val="00091243"/>
    <w:rsid w:val="0009181B"/>
    <w:rsid w:val="00092BCB"/>
    <w:rsid w:val="00093AF9"/>
    <w:rsid w:val="00094119"/>
    <w:rsid w:val="000946FD"/>
    <w:rsid w:val="00095208"/>
    <w:rsid w:val="000958AF"/>
    <w:rsid w:val="00096099"/>
    <w:rsid w:val="00096CDA"/>
    <w:rsid w:val="00096DBC"/>
    <w:rsid w:val="00097520"/>
    <w:rsid w:val="00097C51"/>
    <w:rsid w:val="00097C6B"/>
    <w:rsid w:val="000A0E7C"/>
    <w:rsid w:val="000A1778"/>
    <w:rsid w:val="000A3224"/>
    <w:rsid w:val="000A4447"/>
    <w:rsid w:val="000A4AD1"/>
    <w:rsid w:val="000A5AE6"/>
    <w:rsid w:val="000A6ADA"/>
    <w:rsid w:val="000A7181"/>
    <w:rsid w:val="000B0592"/>
    <w:rsid w:val="000B0BA2"/>
    <w:rsid w:val="000B13D0"/>
    <w:rsid w:val="000B1513"/>
    <w:rsid w:val="000B1627"/>
    <w:rsid w:val="000B201A"/>
    <w:rsid w:val="000B2C47"/>
    <w:rsid w:val="000B2D4B"/>
    <w:rsid w:val="000B2F1B"/>
    <w:rsid w:val="000B359D"/>
    <w:rsid w:val="000B4002"/>
    <w:rsid w:val="000B5244"/>
    <w:rsid w:val="000B52D2"/>
    <w:rsid w:val="000B53E0"/>
    <w:rsid w:val="000B65C6"/>
    <w:rsid w:val="000B7682"/>
    <w:rsid w:val="000B7E64"/>
    <w:rsid w:val="000C002B"/>
    <w:rsid w:val="000C0668"/>
    <w:rsid w:val="000C1C61"/>
    <w:rsid w:val="000C1D7E"/>
    <w:rsid w:val="000C26E7"/>
    <w:rsid w:val="000C2CA4"/>
    <w:rsid w:val="000C3137"/>
    <w:rsid w:val="000C4737"/>
    <w:rsid w:val="000C526D"/>
    <w:rsid w:val="000C566D"/>
    <w:rsid w:val="000C584D"/>
    <w:rsid w:val="000C5D3E"/>
    <w:rsid w:val="000C5E66"/>
    <w:rsid w:val="000C66FD"/>
    <w:rsid w:val="000C6734"/>
    <w:rsid w:val="000C6797"/>
    <w:rsid w:val="000C6C91"/>
    <w:rsid w:val="000C7AF3"/>
    <w:rsid w:val="000C7C64"/>
    <w:rsid w:val="000D0F1D"/>
    <w:rsid w:val="000D1584"/>
    <w:rsid w:val="000D26D5"/>
    <w:rsid w:val="000D3FCC"/>
    <w:rsid w:val="000D4236"/>
    <w:rsid w:val="000D478B"/>
    <w:rsid w:val="000D4E5D"/>
    <w:rsid w:val="000D4FE7"/>
    <w:rsid w:val="000D63C7"/>
    <w:rsid w:val="000D78DD"/>
    <w:rsid w:val="000D7CCB"/>
    <w:rsid w:val="000E189D"/>
    <w:rsid w:val="000E261B"/>
    <w:rsid w:val="000E2829"/>
    <w:rsid w:val="000E2F5C"/>
    <w:rsid w:val="000E431D"/>
    <w:rsid w:val="000E4606"/>
    <w:rsid w:val="000E5D93"/>
    <w:rsid w:val="000E62D1"/>
    <w:rsid w:val="000E62D4"/>
    <w:rsid w:val="000E687B"/>
    <w:rsid w:val="000E71F7"/>
    <w:rsid w:val="000E7712"/>
    <w:rsid w:val="000E785E"/>
    <w:rsid w:val="000E7C80"/>
    <w:rsid w:val="000F01BF"/>
    <w:rsid w:val="000F0CBD"/>
    <w:rsid w:val="000F128B"/>
    <w:rsid w:val="000F223D"/>
    <w:rsid w:val="000F2F35"/>
    <w:rsid w:val="000F327F"/>
    <w:rsid w:val="000F3509"/>
    <w:rsid w:val="000F3B34"/>
    <w:rsid w:val="000F3E23"/>
    <w:rsid w:val="000F3F79"/>
    <w:rsid w:val="000F552F"/>
    <w:rsid w:val="000F60CE"/>
    <w:rsid w:val="000F6A39"/>
    <w:rsid w:val="000F75BC"/>
    <w:rsid w:val="00100686"/>
    <w:rsid w:val="00100689"/>
    <w:rsid w:val="00100B3E"/>
    <w:rsid w:val="00100C51"/>
    <w:rsid w:val="00100C59"/>
    <w:rsid w:val="00101A94"/>
    <w:rsid w:val="0010232A"/>
    <w:rsid w:val="00102643"/>
    <w:rsid w:val="00102F21"/>
    <w:rsid w:val="001035C6"/>
    <w:rsid w:val="00103CD0"/>
    <w:rsid w:val="00104926"/>
    <w:rsid w:val="00104AB5"/>
    <w:rsid w:val="00105D2B"/>
    <w:rsid w:val="0010606C"/>
    <w:rsid w:val="0010655E"/>
    <w:rsid w:val="001065EF"/>
    <w:rsid w:val="00107113"/>
    <w:rsid w:val="001072A3"/>
    <w:rsid w:val="00107682"/>
    <w:rsid w:val="00107980"/>
    <w:rsid w:val="00107E3F"/>
    <w:rsid w:val="00110452"/>
    <w:rsid w:val="00111065"/>
    <w:rsid w:val="00111698"/>
    <w:rsid w:val="0011196F"/>
    <w:rsid w:val="00112132"/>
    <w:rsid w:val="0011277F"/>
    <w:rsid w:val="0011355E"/>
    <w:rsid w:val="001135B8"/>
    <w:rsid w:val="00114544"/>
    <w:rsid w:val="001145EA"/>
    <w:rsid w:val="00114761"/>
    <w:rsid w:val="00115734"/>
    <w:rsid w:val="001202AA"/>
    <w:rsid w:val="001202B3"/>
    <w:rsid w:val="001206FE"/>
    <w:rsid w:val="00120796"/>
    <w:rsid w:val="001239AB"/>
    <w:rsid w:val="00123C82"/>
    <w:rsid w:val="0012456B"/>
    <w:rsid w:val="00124AD5"/>
    <w:rsid w:val="00125013"/>
    <w:rsid w:val="00125FA7"/>
    <w:rsid w:val="00126016"/>
    <w:rsid w:val="00126171"/>
    <w:rsid w:val="00126615"/>
    <w:rsid w:val="00126F78"/>
    <w:rsid w:val="00127649"/>
    <w:rsid w:val="00127749"/>
    <w:rsid w:val="0013057F"/>
    <w:rsid w:val="00131225"/>
    <w:rsid w:val="00131615"/>
    <w:rsid w:val="00131DE3"/>
    <w:rsid w:val="001329E4"/>
    <w:rsid w:val="001344F8"/>
    <w:rsid w:val="00134F66"/>
    <w:rsid w:val="0013501B"/>
    <w:rsid w:val="0013615D"/>
    <w:rsid w:val="001368E1"/>
    <w:rsid w:val="001376D1"/>
    <w:rsid w:val="00140541"/>
    <w:rsid w:val="001406ED"/>
    <w:rsid w:val="0014107E"/>
    <w:rsid w:val="001413F8"/>
    <w:rsid w:val="001415E4"/>
    <w:rsid w:val="00141E77"/>
    <w:rsid w:val="00141F7A"/>
    <w:rsid w:val="00142D4A"/>
    <w:rsid w:val="001434F0"/>
    <w:rsid w:val="0014350C"/>
    <w:rsid w:val="00143672"/>
    <w:rsid w:val="00143BDD"/>
    <w:rsid w:val="00144889"/>
    <w:rsid w:val="00144B7E"/>
    <w:rsid w:val="001451FB"/>
    <w:rsid w:val="00145889"/>
    <w:rsid w:val="00146A72"/>
    <w:rsid w:val="00146E24"/>
    <w:rsid w:val="00147754"/>
    <w:rsid w:val="00147E2B"/>
    <w:rsid w:val="001518B5"/>
    <w:rsid w:val="00151F15"/>
    <w:rsid w:val="001528A6"/>
    <w:rsid w:val="00152AAB"/>
    <w:rsid w:val="00153F5A"/>
    <w:rsid w:val="00154067"/>
    <w:rsid w:val="00154332"/>
    <w:rsid w:val="00154609"/>
    <w:rsid w:val="00154968"/>
    <w:rsid w:val="0015604F"/>
    <w:rsid w:val="0015607E"/>
    <w:rsid w:val="0015616A"/>
    <w:rsid w:val="0015649D"/>
    <w:rsid w:val="00157239"/>
    <w:rsid w:val="001624D9"/>
    <w:rsid w:val="00162938"/>
    <w:rsid w:val="001639BF"/>
    <w:rsid w:val="0016457B"/>
    <w:rsid w:val="0016592F"/>
    <w:rsid w:val="00165D39"/>
    <w:rsid w:val="00166FCB"/>
    <w:rsid w:val="001678BC"/>
    <w:rsid w:val="001709F3"/>
    <w:rsid w:val="00171155"/>
    <w:rsid w:val="00171438"/>
    <w:rsid w:val="00171867"/>
    <w:rsid w:val="00171BF8"/>
    <w:rsid w:val="00171F48"/>
    <w:rsid w:val="001721D0"/>
    <w:rsid w:val="00172372"/>
    <w:rsid w:val="0017244B"/>
    <w:rsid w:val="00172F4C"/>
    <w:rsid w:val="00174653"/>
    <w:rsid w:val="0017478F"/>
    <w:rsid w:val="00174CA6"/>
    <w:rsid w:val="001751B0"/>
    <w:rsid w:val="00175397"/>
    <w:rsid w:val="001754D1"/>
    <w:rsid w:val="0017598F"/>
    <w:rsid w:val="00175DF5"/>
    <w:rsid w:val="00176422"/>
    <w:rsid w:val="001768C3"/>
    <w:rsid w:val="0017727A"/>
    <w:rsid w:val="0018032D"/>
    <w:rsid w:val="00180716"/>
    <w:rsid w:val="0018107E"/>
    <w:rsid w:val="0018129E"/>
    <w:rsid w:val="00181637"/>
    <w:rsid w:val="001826CD"/>
    <w:rsid w:val="00182F62"/>
    <w:rsid w:val="00183767"/>
    <w:rsid w:val="00184426"/>
    <w:rsid w:val="001846A2"/>
    <w:rsid w:val="00184C75"/>
    <w:rsid w:val="00184CF0"/>
    <w:rsid w:val="00184ED4"/>
    <w:rsid w:val="001857C4"/>
    <w:rsid w:val="00185C29"/>
    <w:rsid w:val="00185F13"/>
    <w:rsid w:val="00186072"/>
    <w:rsid w:val="00190287"/>
    <w:rsid w:val="00190610"/>
    <w:rsid w:val="00190C1F"/>
    <w:rsid w:val="00191A95"/>
    <w:rsid w:val="001925FB"/>
    <w:rsid w:val="00193301"/>
    <w:rsid w:val="0019360E"/>
    <w:rsid w:val="00193B1A"/>
    <w:rsid w:val="00195022"/>
    <w:rsid w:val="00195824"/>
    <w:rsid w:val="00196579"/>
    <w:rsid w:val="001969BE"/>
    <w:rsid w:val="00197238"/>
    <w:rsid w:val="00197549"/>
    <w:rsid w:val="001A1A97"/>
    <w:rsid w:val="001A1E32"/>
    <w:rsid w:val="001A2025"/>
    <w:rsid w:val="001A2250"/>
    <w:rsid w:val="001A27D6"/>
    <w:rsid w:val="001A2ACF"/>
    <w:rsid w:val="001A362C"/>
    <w:rsid w:val="001A3C7B"/>
    <w:rsid w:val="001A3CBD"/>
    <w:rsid w:val="001A487C"/>
    <w:rsid w:val="001A6526"/>
    <w:rsid w:val="001A717F"/>
    <w:rsid w:val="001A7674"/>
    <w:rsid w:val="001A7703"/>
    <w:rsid w:val="001A78E7"/>
    <w:rsid w:val="001A78EE"/>
    <w:rsid w:val="001B0173"/>
    <w:rsid w:val="001B0EFF"/>
    <w:rsid w:val="001B10A9"/>
    <w:rsid w:val="001B1255"/>
    <w:rsid w:val="001B1392"/>
    <w:rsid w:val="001B14F4"/>
    <w:rsid w:val="001B1774"/>
    <w:rsid w:val="001B25E1"/>
    <w:rsid w:val="001B3B62"/>
    <w:rsid w:val="001B3ECE"/>
    <w:rsid w:val="001B41EF"/>
    <w:rsid w:val="001B4980"/>
    <w:rsid w:val="001B4B62"/>
    <w:rsid w:val="001B4F2D"/>
    <w:rsid w:val="001B7826"/>
    <w:rsid w:val="001C0849"/>
    <w:rsid w:val="001C0AFE"/>
    <w:rsid w:val="001C1394"/>
    <w:rsid w:val="001C2624"/>
    <w:rsid w:val="001C28B1"/>
    <w:rsid w:val="001C2EEF"/>
    <w:rsid w:val="001C3443"/>
    <w:rsid w:val="001C37F2"/>
    <w:rsid w:val="001C433F"/>
    <w:rsid w:val="001C4A3C"/>
    <w:rsid w:val="001C509A"/>
    <w:rsid w:val="001C5D1E"/>
    <w:rsid w:val="001C658B"/>
    <w:rsid w:val="001C6950"/>
    <w:rsid w:val="001C6BED"/>
    <w:rsid w:val="001C7500"/>
    <w:rsid w:val="001C78F1"/>
    <w:rsid w:val="001C7DE2"/>
    <w:rsid w:val="001D1850"/>
    <w:rsid w:val="001D1940"/>
    <w:rsid w:val="001D32E5"/>
    <w:rsid w:val="001D330E"/>
    <w:rsid w:val="001D3BB4"/>
    <w:rsid w:val="001D3C0B"/>
    <w:rsid w:val="001D413E"/>
    <w:rsid w:val="001D519F"/>
    <w:rsid w:val="001D5443"/>
    <w:rsid w:val="001D5A47"/>
    <w:rsid w:val="001D5B77"/>
    <w:rsid w:val="001D608A"/>
    <w:rsid w:val="001D62A3"/>
    <w:rsid w:val="001D6D7A"/>
    <w:rsid w:val="001D7F0F"/>
    <w:rsid w:val="001E0034"/>
    <w:rsid w:val="001E01F6"/>
    <w:rsid w:val="001E08F5"/>
    <w:rsid w:val="001E0C16"/>
    <w:rsid w:val="001E1237"/>
    <w:rsid w:val="001E1318"/>
    <w:rsid w:val="001E1783"/>
    <w:rsid w:val="001E17CD"/>
    <w:rsid w:val="001E18E8"/>
    <w:rsid w:val="001E1C23"/>
    <w:rsid w:val="001E25F7"/>
    <w:rsid w:val="001E2A81"/>
    <w:rsid w:val="001E2B8E"/>
    <w:rsid w:val="001E3E43"/>
    <w:rsid w:val="001E5201"/>
    <w:rsid w:val="001E5F16"/>
    <w:rsid w:val="001E69E5"/>
    <w:rsid w:val="001E7DF5"/>
    <w:rsid w:val="001F074A"/>
    <w:rsid w:val="001F0B22"/>
    <w:rsid w:val="001F1055"/>
    <w:rsid w:val="001F11C8"/>
    <w:rsid w:val="001F13EB"/>
    <w:rsid w:val="001F16A2"/>
    <w:rsid w:val="001F1B73"/>
    <w:rsid w:val="001F25B7"/>
    <w:rsid w:val="001F3F2D"/>
    <w:rsid w:val="001F5105"/>
    <w:rsid w:val="001F5C49"/>
    <w:rsid w:val="001F7AAC"/>
    <w:rsid w:val="001F7D71"/>
    <w:rsid w:val="00200DB2"/>
    <w:rsid w:val="00200F3F"/>
    <w:rsid w:val="00201C08"/>
    <w:rsid w:val="00202501"/>
    <w:rsid w:val="00202CD3"/>
    <w:rsid w:val="00203185"/>
    <w:rsid w:val="002031CA"/>
    <w:rsid w:val="002031F8"/>
    <w:rsid w:val="00203297"/>
    <w:rsid w:val="00203666"/>
    <w:rsid w:val="00203AF6"/>
    <w:rsid w:val="00203DD3"/>
    <w:rsid w:val="00204CB5"/>
    <w:rsid w:val="002053A5"/>
    <w:rsid w:val="002055CF"/>
    <w:rsid w:val="002056E7"/>
    <w:rsid w:val="00205DC5"/>
    <w:rsid w:val="0020675E"/>
    <w:rsid w:val="002070DA"/>
    <w:rsid w:val="00207721"/>
    <w:rsid w:val="002078BD"/>
    <w:rsid w:val="002078DA"/>
    <w:rsid w:val="00207EB4"/>
    <w:rsid w:val="00210DD6"/>
    <w:rsid w:val="00211063"/>
    <w:rsid w:val="00211B05"/>
    <w:rsid w:val="00212627"/>
    <w:rsid w:val="00213FA6"/>
    <w:rsid w:val="002157E4"/>
    <w:rsid w:val="00215C39"/>
    <w:rsid w:val="00215DBF"/>
    <w:rsid w:val="00216878"/>
    <w:rsid w:val="0021693C"/>
    <w:rsid w:val="0021731F"/>
    <w:rsid w:val="00217B16"/>
    <w:rsid w:val="00217DD7"/>
    <w:rsid w:val="002205AC"/>
    <w:rsid w:val="002206EB"/>
    <w:rsid w:val="00221065"/>
    <w:rsid w:val="0022150E"/>
    <w:rsid w:val="00222346"/>
    <w:rsid w:val="002224A8"/>
    <w:rsid w:val="00222657"/>
    <w:rsid w:val="002227CA"/>
    <w:rsid w:val="002229BD"/>
    <w:rsid w:val="00222AEA"/>
    <w:rsid w:val="00222B59"/>
    <w:rsid w:val="00222CBA"/>
    <w:rsid w:val="00222EAF"/>
    <w:rsid w:val="00224294"/>
    <w:rsid w:val="00224346"/>
    <w:rsid w:val="002246A8"/>
    <w:rsid w:val="00224804"/>
    <w:rsid w:val="00224883"/>
    <w:rsid w:val="00225310"/>
    <w:rsid w:val="0022701F"/>
    <w:rsid w:val="00227259"/>
    <w:rsid w:val="00227876"/>
    <w:rsid w:val="002278B7"/>
    <w:rsid w:val="00230440"/>
    <w:rsid w:val="00230EAF"/>
    <w:rsid w:val="00231DA4"/>
    <w:rsid w:val="00232444"/>
    <w:rsid w:val="0023298F"/>
    <w:rsid w:val="00232CBC"/>
    <w:rsid w:val="00233584"/>
    <w:rsid w:val="00233EB9"/>
    <w:rsid w:val="00234EF3"/>
    <w:rsid w:val="00235934"/>
    <w:rsid w:val="002359BF"/>
    <w:rsid w:val="00236243"/>
    <w:rsid w:val="00236352"/>
    <w:rsid w:val="0023663E"/>
    <w:rsid w:val="00236832"/>
    <w:rsid w:val="002368AA"/>
    <w:rsid w:val="00236DDF"/>
    <w:rsid w:val="0023731C"/>
    <w:rsid w:val="002374AE"/>
    <w:rsid w:val="002400AF"/>
    <w:rsid w:val="002405F6"/>
    <w:rsid w:val="002406DD"/>
    <w:rsid w:val="00241733"/>
    <w:rsid w:val="00241B64"/>
    <w:rsid w:val="002423AD"/>
    <w:rsid w:val="00242D5A"/>
    <w:rsid w:val="00242EC8"/>
    <w:rsid w:val="00242FA8"/>
    <w:rsid w:val="002436AF"/>
    <w:rsid w:val="0024388B"/>
    <w:rsid w:val="00243B6C"/>
    <w:rsid w:val="00243C1E"/>
    <w:rsid w:val="00243C83"/>
    <w:rsid w:val="00244C2B"/>
    <w:rsid w:val="0024519F"/>
    <w:rsid w:val="002454A6"/>
    <w:rsid w:val="00245669"/>
    <w:rsid w:val="002456AF"/>
    <w:rsid w:val="0024606B"/>
    <w:rsid w:val="002461B5"/>
    <w:rsid w:val="002467E3"/>
    <w:rsid w:val="0024696D"/>
    <w:rsid w:val="00247F70"/>
    <w:rsid w:val="002514BE"/>
    <w:rsid w:val="002516C3"/>
    <w:rsid w:val="00251CE0"/>
    <w:rsid w:val="002526D8"/>
    <w:rsid w:val="00252FA1"/>
    <w:rsid w:val="00252FA3"/>
    <w:rsid w:val="0025304C"/>
    <w:rsid w:val="00253400"/>
    <w:rsid w:val="00253506"/>
    <w:rsid w:val="00253B70"/>
    <w:rsid w:val="002542DE"/>
    <w:rsid w:val="00254618"/>
    <w:rsid w:val="00254AAA"/>
    <w:rsid w:val="00255771"/>
    <w:rsid w:val="00255B9C"/>
    <w:rsid w:val="00255EE6"/>
    <w:rsid w:val="0025700F"/>
    <w:rsid w:val="002573EC"/>
    <w:rsid w:val="0026014E"/>
    <w:rsid w:val="00260C73"/>
    <w:rsid w:val="002615BF"/>
    <w:rsid w:val="00262150"/>
    <w:rsid w:val="00262552"/>
    <w:rsid w:val="002627AA"/>
    <w:rsid w:val="00263220"/>
    <w:rsid w:val="002632B3"/>
    <w:rsid w:val="002658AE"/>
    <w:rsid w:val="0026635F"/>
    <w:rsid w:val="00266630"/>
    <w:rsid w:val="00266995"/>
    <w:rsid w:val="00270B26"/>
    <w:rsid w:val="00271038"/>
    <w:rsid w:val="002716CC"/>
    <w:rsid w:val="0027176A"/>
    <w:rsid w:val="00273CCD"/>
    <w:rsid w:val="00274E12"/>
    <w:rsid w:val="00274F59"/>
    <w:rsid w:val="002753D4"/>
    <w:rsid w:val="002754E0"/>
    <w:rsid w:val="002757D4"/>
    <w:rsid w:val="00275865"/>
    <w:rsid w:val="002758BD"/>
    <w:rsid w:val="00275C8D"/>
    <w:rsid w:val="00275E55"/>
    <w:rsid w:val="002768AE"/>
    <w:rsid w:val="00280387"/>
    <w:rsid w:val="0028060E"/>
    <w:rsid w:val="002809DD"/>
    <w:rsid w:val="0028116B"/>
    <w:rsid w:val="00282015"/>
    <w:rsid w:val="00282392"/>
    <w:rsid w:val="00282C20"/>
    <w:rsid w:val="00284561"/>
    <w:rsid w:val="00285131"/>
    <w:rsid w:val="0028519D"/>
    <w:rsid w:val="0028658F"/>
    <w:rsid w:val="00286C61"/>
    <w:rsid w:val="00287766"/>
    <w:rsid w:val="00287801"/>
    <w:rsid w:val="00287E88"/>
    <w:rsid w:val="00290A65"/>
    <w:rsid w:val="00290BD0"/>
    <w:rsid w:val="00290FAB"/>
    <w:rsid w:val="00291577"/>
    <w:rsid w:val="0029199C"/>
    <w:rsid w:val="00291CA1"/>
    <w:rsid w:val="00293115"/>
    <w:rsid w:val="002941A9"/>
    <w:rsid w:val="002949DA"/>
    <w:rsid w:val="00295254"/>
    <w:rsid w:val="002953B9"/>
    <w:rsid w:val="002959D7"/>
    <w:rsid w:val="00296552"/>
    <w:rsid w:val="00296957"/>
    <w:rsid w:val="00297191"/>
    <w:rsid w:val="00297444"/>
    <w:rsid w:val="0029756F"/>
    <w:rsid w:val="002975CC"/>
    <w:rsid w:val="00297677"/>
    <w:rsid w:val="00297FD2"/>
    <w:rsid w:val="002A00C1"/>
    <w:rsid w:val="002A03A3"/>
    <w:rsid w:val="002A086F"/>
    <w:rsid w:val="002A121A"/>
    <w:rsid w:val="002A1450"/>
    <w:rsid w:val="002A16A0"/>
    <w:rsid w:val="002A2361"/>
    <w:rsid w:val="002A2FBE"/>
    <w:rsid w:val="002A32A8"/>
    <w:rsid w:val="002A5184"/>
    <w:rsid w:val="002A5B79"/>
    <w:rsid w:val="002A6D51"/>
    <w:rsid w:val="002A7992"/>
    <w:rsid w:val="002A7D3D"/>
    <w:rsid w:val="002B03B7"/>
    <w:rsid w:val="002B137F"/>
    <w:rsid w:val="002B271C"/>
    <w:rsid w:val="002B28AE"/>
    <w:rsid w:val="002B2B4A"/>
    <w:rsid w:val="002B2F70"/>
    <w:rsid w:val="002B3E7F"/>
    <w:rsid w:val="002B4A31"/>
    <w:rsid w:val="002B4D0D"/>
    <w:rsid w:val="002B4DAC"/>
    <w:rsid w:val="002B5385"/>
    <w:rsid w:val="002B5C76"/>
    <w:rsid w:val="002B664D"/>
    <w:rsid w:val="002B7B33"/>
    <w:rsid w:val="002C0343"/>
    <w:rsid w:val="002C0634"/>
    <w:rsid w:val="002C067C"/>
    <w:rsid w:val="002C0A5B"/>
    <w:rsid w:val="002C0AC8"/>
    <w:rsid w:val="002C0B51"/>
    <w:rsid w:val="002C0B77"/>
    <w:rsid w:val="002C157C"/>
    <w:rsid w:val="002C1A3F"/>
    <w:rsid w:val="002C1EAF"/>
    <w:rsid w:val="002C2932"/>
    <w:rsid w:val="002C3C7F"/>
    <w:rsid w:val="002C3D2A"/>
    <w:rsid w:val="002C425F"/>
    <w:rsid w:val="002C4659"/>
    <w:rsid w:val="002C5291"/>
    <w:rsid w:val="002C571B"/>
    <w:rsid w:val="002C5BAE"/>
    <w:rsid w:val="002C5E4B"/>
    <w:rsid w:val="002C6639"/>
    <w:rsid w:val="002C6838"/>
    <w:rsid w:val="002C703E"/>
    <w:rsid w:val="002C70BF"/>
    <w:rsid w:val="002C729F"/>
    <w:rsid w:val="002C7D46"/>
    <w:rsid w:val="002C7E5C"/>
    <w:rsid w:val="002D0297"/>
    <w:rsid w:val="002D0760"/>
    <w:rsid w:val="002D09D1"/>
    <w:rsid w:val="002D1808"/>
    <w:rsid w:val="002D192F"/>
    <w:rsid w:val="002D1C82"/>
    <w:rsid w:val="002D1EE3"/>
    <w:rsid w:val="002D2857"/>
    <w:rsid w:val="002D2AAD"/>
    <w:rsid w:val="002D2E83"/>
    <w:rsid w:val="002D3182"/>
    <w:rsid w:val="002D31A3"/>
    <w:rsid w:val="002D35C1"/>
    <w:rsid w:val="002D4202"/>
    <w:rsid w:val="002D423A"/>
    <w:rsid w:val="002D4CEB"/>
    <w:rsid w:val="002D5210"/>
    <w:rsid w:val="002D52A7"/>
    <w:rsid w:val="002D5524"/>
    <w:rsid w:val="002D560D"/>
    <w:rsid w:val="002D5F25"/>
    <w:rsid w:val="002D73B2"/>
    <w:rsid w:val="002D77E5"/>
    <w:rsid w:val="002D798A"/>
    <w:rsid w:val="002D7A89"/>
    <w:rsid w:val="002D7C1B"/>
    <w:rsid w:val="002D7DE8"/>
    <w:rsid w:val="002D7E23"/>
    <w:rsid w:val="002E0B38"/>
    <w:rsid w:val="002E0CC4"/>
    <w:rsid w:val="002E0D5A"/>
    <w:rsid w:val="002E0FE2"/>
    <w:rsid w:val="002E1D8B"/>
    <w:rsid w:val="002E340D"/>
    <w:rsid w:val="002E3D4B"/>
    <w:rsid w:val="002E4240"/>
    <w:rsid w:val="002E4A58"/>
    <w:rsid w:val="002E514C"/>
    <w:rsid w:val="002E6940"/>
    <w:rsid w:val="002E6D34"/>
    <w:rsid w:val="002E7422"/>
    <w:rsid w:val="002E78AC"/>
    <w:rsid w:val="002F00B3"/>
    <w:rsid w:val="002F02D6"/>
    <w:rsid w:val="002F14DB"/>
    <w:rsid w:val="002F244D"/>
    <w:rsid w:val="002F24F1"/>
    <w:rsid w:val="002F2D63"/>
    <w:rsid w:val="002F2E83"/>
    <w:rsid w:val="002F30AB"/>
    <w:rsid w:val="002F3714"/>
    <w:rsid w:val="002F3890"/>
    <w:rsid w:val="002F3D38"/>
    <w:rsid w:val="002F45C2"/>
    <w:rsid w:val="002F4B22"/>
    <w:rsid w:val="002F4BA0"/>
    <w:rsid w:val="002F6267"/>
    <w:rsid w:val="002F750B"/>
    <w:rsid w:val="002F7FF1"/>
    <w:rsid w:val="00300795"/>
    <w:rsid w:val="00300BAC"/>
    <w:rsid w:val="0030148A"/>
    <w:rsid w:val="0030187D"/>
    <w:rsid w:val="00301885"/>
    <w:rsid w:val="00301C7D"/>
    <w:rsid w:val="00302064"/>
    <w:rsid w:val="00302333"/>
    <w:rsid w:val="003038A3"/>
    <w:rsid w:val="00304FAF"/>
    <w:rsid w:val="003057D2"/>
    <w:rsid w:val="0030633A"/>
    <w:rsid w:val="00306829"/>
    <w:rsid w:val="00306E71"/>
    <w:rsid w:val="00307143"/>
    <w:rsid w:val="00307F20"/>
    <w:rsid w:val="00310BC5"/>
    <w:rsid w:val="00311012"/>
    <w:rsid w:val="003119E6"/>
    <w:rsid w:val="00312438"/>
    <w:rsid w:val="00313219"/>
    <w:rsid w:val="00313827"/>
    <w:rsid w:val="00314E20"/>
    <w:rsid w:val="0031594C"/>
    <w:rsid w:val="003161E5"/>
    <w:rsid w:val="003164E8"/>
    <w:rsid w:val="003167AC"/>
    <w:rsid w:val="00316D81"/>
    <w:rsid w:val="0031726D"/>
    <w:rsid w:val="00320005"/>
    <w:rsid w:val="00322966"/>
    <w:rsid w:val="00323FED"/>
    <w:rsid w:val="00324588"/>
    <w:rsid w:val="003245D8"/>
    <w:rsid w:val="003249EE"/>
    <w:rsid w:val="00325065"/>
    <w:rsid w:val="00325BD6"/>
    <w:rsid w:val="003268AD"/>
    <w:rsid w:val="00326FA3"/>
    <w:rsid w:val="003276D3"/>
    <w:rsid w:val="00327C69"/>
    <w:rsid w:val="00327C78"/>
    <w:rsid w:val="00327F37"/>
    <w:rsid w:val="003305D2"/>
    <w:rsid w:val="003307AC"/>
    <w:rsid w:val="00330961"/>
    <w:rsid w:val="00331B23"/>
    <w:rsid w:val="00331C65"/>
    <w:rsid w:val="00332C13"/>
    <w:rsid w:val="003335F6"/>
    <w:rsid w:val="0033366B"/>
    <w:rsid w:val="00335187"/>
    <w:rsid w:val="00335B2B"/>
    <w:rsid w:val="00336A42"/>
    <w:rsid w:val="00336CFF"/>
    <w:rsid w:val="00337104"/>
    <w:rsid w:val="003371F7"/>
    <w:rsid w:val="003372E3"/>
    <w:rsid w:val="003378B7"/>
    <w:rsid w:val="00337AD7"/>
    <w:rsid w:val="00337C99"/>
    <w:rsid w:val="00340429"/>
    <w:rsid w:val="0034119A"/>
    <w:rsid w:val="0034136F"/>
    <w:rsid w:val="00341820"/>
    <w:rsid w:val="00342F1B"/>
    <w:rsid w:val="003434B6"/>
    <w:rsid w:val="00343B6E"/>
    <w:rsid w:val="00343E57"/>
    <w:rsid w:val="0034567E"/>
    <w:rsid w:val="00346D8F"/>
    <w:rsid w:val="00347DF3"/>
    <w:rsid w:val="00350091"/>
    <w:rsid w:val="00350B72"/>
    <w:rsid w:val="003517E6"/>
    <w:rsid w:val="00351CB0"/>
    <w:rsid w:val="00352297"/>
    <w:rsid w:val="003526EA"/>
    <w:rsid w:val="003529F2"/>
    <w:rsid w:val="00352C51"/>
    <w:rsid w:val="003531EC"/>
    <w:rsid w:val="003535EC"/>
    <w:rsid w:val="0035386B"/>
    <w:rsid w:val="00354810"/>
    <w:rsid w:val="0035602F"/>
    <w:rsid w:val="00357098"/>
    <w:rsid w:val="00361536"/>
    <w:rsid w:val="003636C7"/>
    <w:rsid w:val="00363FD1"/>
    <w:rsid w:val="0036408C"/>
    <w:rsid w:val="003640B6"/>
    <w:rsid w:val="00364785"/>
    <w:rsid w:val="00364B74"/>
    <w:rsid w:val="00365B50"/>
    <w:rsid w:val="00365E0D"/>
    <w:rsid w:val="00365E5F"/>
    <w:rsid w:val="003663B1"/>
    <w:rsid w:val="00366D1E"/>
    <w:rsid w:val="00367111"/>
    <w:rsid w:val="00370094"/>
    <w:rsid w:val="003700DA"/>
    <w:rsid w:val="00370477"/>
    <w:rsid w:val="00370D25"/>
    <w:rsid w:val="00371980"/>
    <w:rsid w:val="00371A5A"/>
    <w:rsid w:val="00371DF1"/>
    <w:rsid w:val="00372521"/>
    <w:rsid w:val="00373026"/>
    <w:rsid w:val="003733CB"/>
    <w:rsid w:val="0037343B"/>
    <w:rsid w:val="0037365C"/>
    <w:rsid w:val="0037381F"/>
    <w:rsid w:val="00374212"/>
    <w:rsid w:val="003748A4"/>
    <w:rsid w:val="00374C8A"/>
    <w:rsid w:val="00374CBB"/>
    <w:rsid w:val="00374D57"/>
    <w:rsid w:val="00374E8B"/>
    <w:rsid w:val="00375EE0"/>
    <w:rsid w:val="0037796A"/>
    <w:rsid w:val="00377E62"/>
    <w:rsid w:val="0038017E"/>
    <w:rsid w:val="00380304"/>
    <w:rsid w:val="00381C75"/>
    <w:rsid w:val="003825E5"/>
    <w:rsid w:val="00382AED"/>
    <w:rsid w:val="003834D5"/>
    <w:rsid w:val="003838CE"/>
    <w:rsid w:val="00385139"/>
    <w:rsid w:val="00385418"/>
    <w:rsid w:val="00385B67"/>
    <w:rsid w:val="00385FAA"/>
    <w:rsid w:val="003868FD"/>
    <w:rsid w:val="00386C69"/>
    <w:rsid w:val="00386D45"/>
    <w:rsid w:val="003902D2"/>
    <w:rsid w:val="00390339"/>
    <w:rsid w:val="003907F3"/>
    <w:rsid w:val="00391DB4"/>
    <w:rsid w:val="003931E2"/>
    <w:rsid w:val="00393225"/>
    <w:rsid w:val="0039448D"/>
    <w:rsid w:val="00394B1D"/>
    <w:rsid w:val="00394EB4"/>
    <w:rsid w:val="00395812"/>
    <w:rsid w:val="00395D00"/>
    <w:rsid w:val="00395F7B"/>
    <w:rsid w:val="0039670E"/>
    <w:rsid w:val="00396919"/>
    <w:rsid w:val="00396982"/>
    <w:rsid w:val="00396CEE"/>
    <w:rsid w:val="00396FE1"/>
    <w:rsid w:val="00397507"/>
    <w:rsid w:val="003A0296"/>
    <w:rsid w:val="003A0C7C"/>
    <w:rsid w:val="003A1288"/>
    <w:rsid w:val="003A18D2"/>
    <w:rsid w:val="003A207F"/>
    <w:rsid w:val="003A22F0"/>
    <w:rsid w:val="003A25D2"/>
    <w:rsid w:val="003A27D3"/>
    <w:rsid w:val="003A33EA"/>
    <w:rsid w:val="003A432E"/>
    <w:rsid w:val="003A5825"/>
    <w:rsid w:val="003A6505"/>
    <w:rsid w:val="003A6756"/>
    <w:rsid w:val="003A6DD8"/>
    <w:rsid w:val="003A6E39"/>
    <w:rsid w:val="003B01BA"/>
    <w:rsid w:val="003B156A"/>
    <w:rsid w:val="003B16F5"/>
    <w:rsid w:val="003B1883"/>
    <w:rsid w:val="003B1FD0"/>
    <w:rsid w:val="003B2321"/>
    <w:rsid w:val="003B3117"/>
    <w:rsid w:val="003B3C86"/>
    <w:rsid w:val="003B4C11"/>
    <w:rsid w:val="003B554D"/>
    <w:rsid w:val="003B5837"/>
    <w:rsid w:val="003B58AA"/>
    <w:rsid w:val="003B5BE3"/>
    <w:rsid w:val="003B7774"/>
    <w:rsid w:val="003C0A87"/>
    <w:rsid w:val="003C0FE7"/>
    <w:rsid w:val="003C115D"/>
    <w:rsid w:val="003C1913"/>
    <w:rsid w:val="003C29FC"/>
    <w:rsid w:val="003C3266"/>
    <w:rsid w:val="003C4FCD"/>
    <w:rsid w:val="003C575A"/>
    <w:rsid w:val="003C72BA"/>
    <w:rsid w:val="003D1048"/>
    <w:rsid w:val="003D15B7"/>
    <w:rsid w:val="003D1DFA"/>
    <w:rsid w:val="003D2C19"/>
    <w:rsid w:val="003D3084"/>
    <w:rsid w:val="003D3236"/>
    <w:rsid w:val="003D4D76"/>
    <w:rsid w:val="003D5184"/>
    <w:rsid w:val="003D5A9E"/>
    <w:rsid w:val="003D6328"/>
    <w:rsid w:val="003E056E"/>
    <w:rsid w:val="003E1085"/>
    <w:rsid w:val="003E2162"/>
    <w:rsid w:val="003E440D"/>
    <w:rsid w:val="003E5076"/>
    <w:rsid w:val="003E5BB3"/>
    <w:rsid w:val="003E6335"/>
    <w:rsid w:val="003E66BE"/>
    <w:rsid w:val="003E6923"/>
    <w:rsid w:val="003E6D23"/>
    <w:rsid w:val="003E72CC"/>
    <w:rsid w:val="003E76D2"/>
    <w:rsid w:val="003F01EE"/>
    <w:rsid w:val="003F036D"/>
    <w:rsid w:val="003F0B76"/>
    <w:rsid w:val="003F11FB"/>
    <w:rsid w:val="003F1214"/>
    <w:rsid w:val="003F140B"/>
    <w:rsid w:val="003F1E60"/>
    <w:rsid w:val="003F204D"/>
    <w:rsid w:val="003F223E"/>
    <w:rsid w:val="003F2ECB"/>
    <w:rsid w:val="003F300A"/>
    <w:rsid w:val="003F342D"/>
    <w:rsid w:val="003F344E"/>
    <w:rsid w:val="003F3E5A"/>
    <w:rsid w:val="003F5A04"/>
    <w:rsid w:val="003F5C0F"/>
    <w:rsid w:val="003F5E02"/>
    <w:rsid w:val="003F6516"/>
    <w:rsid w:val="003F672C"/>
    <w:rsid w:val="003F760B"/>
    <w:rsid w:val="003F76E6"/>
    <w:rsid w:val="004001C2"/>
    <w:rsid w:val="00400548"/>
    <w:rsid w:val="004027A6"/>
    <w:rsid w:val="00402982"/>
    <w:rsid w:val="00403216"/>
    <w:rsid w:val="004033A2"/>
    <w:rsid w:val="00403B14"/>
    <w:rsid w:val="00403CD7"/>
    <w:rsid w:val="00404A86"/>
    <w:rsid w:val="00405120"/>
    <w:rsid w:val="00405719"/>
    <w:rsid w:val="00406556"/>
    <w:rsid w:val="00406978"/>
    <w:rsid w:val="00406A16"/>
    <w:rsid w:val="00406C26"/>
    <w:rsid w:val="00410397"/>
    <w:rsid w:val="00410436"/>
    <w:rsid w:val="0041079B"/>
    <w:rsid w:val="004107E5"/>
    <w:rsid w:val="00410EE3"/>
    <w:rsid w:val="004112D7"/>
    <w:rsid w:val="0041232E"/>
    <w:rsid w:val="00412535"/>
    <w:rsid w:val="004129D3"/>
    <w:rsid w:val="00412BF4"/>
    <w:rsid w:val="00414056"/>
    <w:rsid w:val="00415094"/>
    <w:rsid w:val="00416B02"/>
    <w:rsid w:val="0041795A"/>
    <w:rsid w:val="00421655"/>
    <w:rsid w:val="00421B02"/>
    <w:rsid w:val="00421BD1"/>
    <w:rsid w:val="00422351"/>
    <w:rsid w:val="004225DB"/>
    <w:rsid w:val="00422DBE"/>
    <w:rsid w:val="004233D4"/>
    <w:rsid w:val="00424310"/>
    <w:rsid w:val="00424387"/>
    <w:rsid w:val="00424C36"/>
    <w:rsid w:val="00425403"/>
    <w:rsid w:val="00425540"/>
    <w:rsid w:val="00425B62"/>
    <w:rsid w:val="00425E94"/>
    <w:rsid w:val="00426CA5"/>
    <w:rsid w:val="00426CD2"/>
    <w:rsid w:val="00426E58"/>
    <w:rsid w:val="00426E8F"/>
    <w:rsid w:val="004272AD"/>
    <w:rsid w:val="00427A1E"/>
    <w:rsid w:val="00430C76"/>
    <w:rsid w:val="0043114E"/>
    <w:rsid w:val="00432296"/>
    <w:rsid w:val="00432827"/>
    <w:rsid w:val="0043351C"/>
    <w:rsid w:val="00433BF2"/>
    <w:rsid w:val="00434055"/>
    <w:rsid w:val="004343CB"/>
    <w:rsid w:val="00434A2C"/>
    <w:rsid w:val="00434E5E"/>
    <w:rsid w:val="004356C6"/>
    <w:rsid w:val="00437B84"/>
    <w:rsid w:val="00440674"/>
    <w:rsid w:val="0044089C"/>
    <w:rsid w:val="00440B93"/>
    <w:rsid w:val="00441E5B"/>
    <w:rsid w:val="0044244D"/>
    <w:rsid w:val="00442725"/>
    <w:rsid w:val="00442A13"/>
    <w:rsid w:val="00442C79"/>
    <w:rsid w:val="00443483"/>
    <w:rsid w:val="00443759"/>
    <w:rsid w:val="004441F5"/>
    <w:rsid w:val="00446195"/>
    <w:rsid w:val="00446549"/>
    <w:rsid w:val="00447A92"/>
    <w:rsid w:val="00450180"/>
    <w:rsid w:val="00450754"/>
    <w:rsid w:val="00450E9D"/>
    <w:rsid w:val="00450FE8"/>
    <w:rsid w:val="00450FFC"/>
    <w:rsid w:val="00451640"/>
    <w:rsid w:val="00451765"/>
    <w:rsid w:val="00451FCB"/>
    <w:rsid w:val="004526A9"/>
    <w:rsid w:val="00452775"/>
    <w:rsid w:val="00452797"/>
    <w:rsid w:val="00452F20"/>
    <w:rsid w:val="004536B1"/>
    <w:rsid w:val="004544F5"/>
    <w:rsid w:val="00455127"/>
    <w:rsid w:val="00456B36"/>
    <w:rsid w:val="00456C8F"/>
    <w:rsid w:val="00456F2D"/>
    <w:rsid w:val="0046004E"/>
    <w:rsid w:val="00460764"/>
    <w:rsid w:val="00460A83"/>
    <w:rsid w:val="00461263"/>
    <w:rsid w:val="0046260B"/>
    <w:rsid w:val="00462D23"/>
    <w:rsid w:val="004639ED"/>
    <w:rsid w:val="00463DCD"/>
    <w:rsid w:val="00463FAF"/>
    <w:rsid w:val="0046428E"/>
    <w:rsid w:val="00464A33"/>
    <w:rsid w:val="00465936"/>
    <w:rsid w:val="00465EA2"/>
    <w:rsid w:val="00467414"/>
    <w:rsid w:val="0047089E"/>
    <w:rsid w:val="00471C1C"/>
    <w:rsid w:val="00472EC6"/>
    <w:rsid w:val="00473477"/>
    <w:rsid w:val="004738F4"/>
    <w:rsid w:val="004752E8"/>
    <w:rsid w:val="004754AA"/>
    <w:rsid w:val="004760CF"/>
    <w:rsid w:val="00476250"/>
    <w:rsid w:val="004762A0"/>
    <w:rsid w:val="004766EF"/>
    <w:rsid w:val="00476760"/>
    <w:rsid w:val="004768F3"/>
    <w:rsid w:val="0047725A"/>
    <w:rsid w:val="0047794D"/>
    <w:rsid w:val="004779C9"/>
    <w:rsid w:val="00481528"/>
    <w:rsid w:val="00481A54"/>
    <w:rsid w:val="004824B4"/>
    <w:rsid w:val="0048275C"/>
    <w:rsid w:val="00482B49"/>
    <w:rsid w:val="00483C32"/>
    <w:rsid w:val="00484DA9"/>
    <w:rsid w:val="00485003"/>
    <w:rsid w:val="0048528D"/>
    <w:rsid w:val="004855E2"/>
    <w:rsid w:val="00486A0E"/>
    <w:rsid w:val="00486BF2"/>
    <w:rsid w:val="00487106"/>
    <w:rsid w:val="0048733E"/>
    <w:rsid w:val="00490063"/>
    <w:rsid w:val="00491CA6"/>
    <w:rsid w:val="00492CF7"/>
    <w:rsid w:val="004935DA"/>
    <w:rsid w:val="00493AC3"/>
    <w:rsid w:val="00493CE7"/>
    <w:rsid w:val="0049402C"/>
    <w:rsid w:val="00494228"/>
    <w:rsid w:val="004943E4"/>
    <w:rsid w:val="00494628"/>
    <w:rsid w:val="004955B2"/>
    <w:rsid w:val="00495751"/>
    <w:rsid w:val="00495A20"/>
    <w:rsid w:val="00495A6B"/>
    <w:rsid w:val="00495B00"/>
    <w:rsid w:val="00496098"/>
    <w:rsid w:val="0049667B"/>
    <w:rsid w:val="00496890"/>
    <w:rsid w:val="004969E4"/>
    <w:rsid w:val="00496A40"/>
    <w:rsid w:val="004A1AC7"/>
    <w:rsid w:val="004A2232"/>
    <w:rsid w:val="004A2352"/>
    <w:rsid w:val="004A2466"/>
    <w:rsid w:val="004A3525"/>
    <w:rsid w:val="004A370D"/>
    <w:rsid w:val="004A4567"/>
    <w:rsid w:val="004A5678"/>
    <w:rsid w:val="004A59FA"/>
    <w:rsid w:val="004A642F"/>
    <w:rsid w:val="004A64B1"/>
    <w:rsid w:val="004A7812"/>
    <w:rsid w:val="004B0198"/>
    <w:rsid w:val="004B321A"/>
    <w:rsid w:val="004B4170"/>
    <w:rsid w:val="004B432B"/>
    <w:rsid w:val="004B4927"/>
    <w:rsid w:val="004B59ED"/>
    <w:rsid w:val="004B6D1E"/>
    <w:rsid w:val="004B74A7"/>
    <w:rsid w:val="004B7912"/>
    <w:rsid w:val="004C0EA3"/>
    <w:rsid w:val="004C199E"/>
    <w:rsid w:val="004C1E98"/>
    <w:rsid w:val="004C2EF2"/>
    <w:rsid w:val="004C3562"/>
    <w:rsid w:val="004C386D"/>
    <w:rsid w:val="004C3F07"/>
    <w:rsid w:val="004C4911"/>
    <w:rsid w:val="004C4D01"/>
    <w:rsid w:val="004C4D80"/>
    <w:rsid w:val="004C52BA"/>
    <w:rsid w:val="004C5545"/>
    <w:rsid w:val="004C5E10"/>
    <w:rsid w:val="004C6996"/>
    <w:rsid w:val="004C72C7"/>
    <w:rsid w:val="004C7A7A"/>
    <w:rsid w:val="004D07CE"/>
    <w:rsid w:val="004D10D6"/>
    <w:rsid w:val="004D1333"/>
    <w:rsid w:val="004D1362"/>
    <w:rsid w:val="004D3504"/>
    <w:rsid w:val="004D368D"/>
    <w:rsid w:val="004D43B2"/>
    <w:rsid w:val="004D443B"/>
    <w:rsid w:val="004D4ADE"/>
    <w:rsid w:val="004D540D"/>
    <w:rsid w:val="004D56F5"/>
    <w:rsid w:val="004D5A9B"/>
    <w:rsid w:val="004D5CC9"/>
    <w:rsid w:val="004D5EA7"/>
    <w:rsid w:val="004D61A0"/>
    <w:rsid w:val="004D6629"/>
    <w:rsid w:val="004D7753"/>
    <w:rsid w:val="004D7DBB"/>
    <w:rsid w:val="004D7F9C"/>
    <w:rsid w:val="004E12C6"/>
    <w:rsid w:val="004E1353"/>
    <w:rsid w:val="004E2031"/>
    <w:rsid w:val="004E2340"/>
    <w:rsid w:val="004E235E"/>
    <w:rsid w:val="004E2C1E"/>
    <w:rsid w:val="004E3AC9"/>
    <w:rsid w:val="004E3F00"/>
    <w:rsid w:val="004E5BC6"/>
    <w:rsid w:val="004E69CA"/>
    <w:rsid w:val="004E72B1"/>
    <w:rsid w:val="004F0368"/>
    <w:rsid w:val="004F0A54"/>
    <w:rsid w:val="004F0AB4"/>
    <w:rsid w:val="004F0DE7"/>
    <w:rsid w:val="004F107F"/>
    <w:rsid w:val="004F1C84"/>
    <w:rsid w:val="004F2DE6"/>
    <w:rsid w:val="004F2DEF"/>
    <w:rsid w:val="004F32E5"/>
    <w:rsid w:val="004F49B0"/>
    <w:rsid w:val="004F4F56"/>
    <w:rsid w:val="004F5355"/>
    <w:rsid w:val="004F59CB"/>
    <w:rsid w:val="004F71D0"/>
    <w:rsid w:val="004F7633"/>
    <w:rsid w:val="004F7844"/>
    <w:rsid w:val="004F7EB3"/>
    <w:rsid w:val="005002D8"/>
    <w:rsid w:val="005003A2"/>
    <w:rsid w:val="00500827"/>
    <w:rsid w:val="00500D15"/>
    <w:rsid w:val="005011CA"/>
    <w:rsid w:val="00501701"/>
    <w:rsid w:val="00501DC8"/>
    <w:rsid w:val="0050207D"/>
    <w:rsid w:val="00502AC8"/>
    <w:rsid w:val="00502E80"/>
    <w:rsid w:val="00503482"/>
    <w:rsid w:val="00504B35"/>
    <w:rsid w:val="00505AA7"/>
    <w:rsid w:val="005066D9"/>
    <w:rsid w:val="005067E3"/>
    <w:rsid w:val="00506B3A"/>
    <w:rsid w:val="00506D6D"/>
    <w:rsid w:val="00507674"/>
    <w:rsid w:val="00510A13"/>
    <w:rsid w:val="00511AE7"/>
    <w:rsid w:val="00511E1F"/>
    <w:rsid w:val="005120B3"/>
    <w:rsid w:val="00512FDE"/>
    <w:rsid w:val="00513E1D"/>
    <w:rsid w:val="005142F8"/>
    <w:rsid w:val="00515EE2"/>
    <w:rsid w:val="00516851"/>
    <w:rsid w:val="00516E87"/>
    <w:rsid w:val="00520B54"/>
    <w:rsid w:val="005212CA"/>
    <w:rsid w:val="00521463"/>
    <w:rsid w:val="0052148E"/>
    <w:rsid w:val="0052179B"/>
    <w:rsid w:val="0052184B"/>
    <w:rsid w:val="00522974"/>
    <w:rsid w:val="005229FA"/>
    <w:rsid w:val="00524845"/>
    <w:rsid w:val="005249AD"/>
    <w:rsid w:val="005249D3"/>
    <w:rsid w:val="0052544F"/>
    <w:rsid w:val="00527089"/>
    <w:rsid w:val="005278CC"/>
    <w:rsid w:val="00527B46"/>
    <w:rsid w:val="00530856"/>
    <w:rsid w:val="00530A5F"/>
    <w:rsid w:val="00531513"/>
    <w:rsid w:val="00531950"/>
    <w:rsid w:val="00531F43"/>
    <w:rsid w:val="005324DC"/>
    <w:rsid w:val="00533DD6"/>
    <w:rsid w:val="00533F11"/>
    <w:rsid w:val="00535244"/>
    <w:rsid w:val="00535E64"/>
    <w:rsid w:val="005366CE"/>
    <w:rsid w:val="00540326"/>
    <w:rsid w:val="0054098B"/>
    <w:rsid w:val="005413BC"/>
    <w:rsid w:val="005417D2"/>
    <w:rsid w:val="00541AF7"/>
    <w:rsid w:val="00542AFE"/>
    <w:rsid w:val="00543868"/>
    <w:rsid w:val="0054423A"/>
    <w:rsid w:val="00544680"/>
    <w:rsid w:val="00544772"/>
    <w:rsid w:val="0054613F"/>
    <w:rsid w:val="005467D2"/>
    <w:rsid w:val="00546921"/>
    <w:rsid w:val="00546F35"/>
    <w:rsid w:val="005475BD"/>
    <w:rsid w:val="00550D52"/>
    <w:rsid w:val="00550E24"/>
    <w:rsid w:val="00551368"/>
    <w:rsid w:val="00551A96"/>
    <w:rsid w:val="00551E07"/>
    <w:rsid w:val="00551FC6"/>
    <w:rsid w:val="00552046"/>
    <w:rsid w:val="00552398"/>
    <w:rsid w:val="00552FF9"/>
    <w:rsid w:val="0055312D"/>
    <w:rsid w:val="0055314C"/>
    <w:rsid w:val="00553740"/>
    <w:rsid w:val="005539F2"/>
    <w:rsid w:val="00553D89"/>
    <w:rsid w:val="005544BE"/>
    <w:rsid w:val="00554672"/>
    <w:rsid w:val="00555378"/>
    <w:rsid w:val="00555E34"/>
    <w:rsid w:val="00556AAF"/>
    <w:rsid w:val="00557F93"/>
    <w:rsid w:val="0056023A"/>
    <w:rsid w:val="00560D55"/>
    <w:rsid w:val="005619DC"/>
    <w:rsid w:val="005619EF"/>
    <w:rsid w:val="00561A5D"/>
    <w:rsid w:val="00562A42"/>
    <w:rsid w:val="00563196"/>
    <w:rsid w:val="00563CD9"/>
    <w:rsid w:val="00564578"/>
    <w:rsid w:val="00565B0F"/>
    <w:rsid w:val="00566EA2"/>
    <w:rsid w:val="00567686"/>
    <w:rsid w:val="00567891"/>
    <w:rsid w:val="00570144"/>
    <w:rsid w:val="00570158"/>
    <w:rsid w:val="00571732"/>
    <w:rsid w:val="00571C07"/>
    <w:rsid w:val="0057211D"/>
    <w:rsid w:val="005729EF"/>
    <w:rsid w:val="00572CBA"/>
    <w:rsid w:val="005738E4"/>
    <w:rsid w:val="0057399C"/>
    <w:rsid w:val="00573F2D"/>
    <w:rsid w:val="00573F76"/>
    <w:rsid w:val="00574486"/>
    <w:rsid w:val="0057462F"/>
    <w:rsid w:val="0057465D"/>
    <w:rsid w:val="00574DC8"/>
    <w:rsid w:val="00574F1E"/>
    <w:rsid w:val="0057519F"/>
    <w:rsid w:val="005758DD"/>
    <w:rsid w:val="00575953"/>
    <w:rsid w:val="0057686F"/>
    <w:rsid w:val="00576E5A"/>
    <w:rsid w:val="00577087"/>
    <w:rsid w:val="00577971"/>
    <w:rsid w:val="00577EE6"/>
    <w:rsid w:val="00581735"/>
    <w:rsid w:val="0058216F"/>
    <w:rsid w:val="0058316F"/>
    <w:rsid w:val="00583D57"/>
    <w:rsid w:val="005841B0"/>
    <w:rsid w:val="005842DC"/>
    <w:rsid w:val="005870F7"/>
    <w:rsid w:val="0058782D"/>
    <w:rsid w:val="00587E31"/>
    <w:rsid w:val="00590085"/>
    <w:rsid w:val="005902B8"/>
    <w:rsid w:val="00590B07"/>
    <w:rsid w:val="00590E9B"/>
    <w:rsid w:val="00592404"/>
    <w:rsid w:val="00592B66"/>
    <w:rsid w:val="0059393D"/>
    <w:rsid w:val="00594AC9"/>
    <w:rsid w:val="00594D13"/>
    <w:rsid w:val="00595E1B"/>
    <w:rsid w:val="00596772"/>
    <w:rsid w:val="00597362"/>
    <w:rsid w:val="005973A0"/>
    <w:rsid w:val="005976F3"/>
    <w:rsid w:val="00597BE9"/>
    <w:rsid w:val="005A0E5F"/>
    <w:rsid w:val="005A11DF"/>
    <w:rsid w:val="005A2473"/>
    <w:rsid w:val="005A2753"/>
    <w:rsid w:val="005A28CE"/>
    <w:rsid w:val="005A3D0C"/>
    <w:rsid w:val="005A3E81"/>
    <w:rsid w:val="005A3FC0"/>
    <w:rsid w:val="005A442B"/>
    <w:rsid w:val="005A4E07"/>
    <w:rsid w:val="005A52F3"/>
    <w:rsid w:val="005A6942"/>
    <w:rsid w:val="005A6E3D"/>
    <w:rsid w:val="005A73A5"/>
    <w:rsid w:val="005B0684"/>
    <w:rsid w:val="005B11CC"/>
    <w:rsid w:val="005B2307"/>
    <w:rsid w:val="005B2785"/>
    <w:rsid w:val="005B370B"/>
    <w:rsid w:val="005B3FFB"/>
    <w:rsid w:val="005B4344"/>
    <w:rsid w:val="005B61FF"/>
    <w:rsid w:val="005B70E9"/>
    <w:rsid w:val="005B738E"/>
    <w:rsid w:val="005C00C4"/>
    <w:rsid w:val="005C01CB"/>
    <w:rsid w:val="005C0ABB"/>
    <w:rsid w:val="005C0AC0"/>
    <w:rsid w:val="005C1803"/>
    <w:rsid w:val="005C18BF"/>
    <w:rsid w:val="005C2F51"/>
    <w:rsid w:val="005C31E9"/>
    <w:rsid w:val="005C382A"/>
    <w:rsid w:val="005C4987"/>
    <w:rsid w:val="005C5490"/>
    <w:rsid w:val="005C574A"/>
    <w:rsid w:val="005C577F"/>
    <w:rsid w:val="005C5857"/>
    <w:rsid w:val="005C5AA1"/>
    <w:rsid w:val="005C609A"/>
    <w:rsid w:val="005C737E"/>
    <w:rsid w:val="005C7520"/>
    <w:rsid w:val="005C7E07"/>
    <w:rsid w:val="005C7EF8"/>
    <w:rsid w:val="005D05C7"/>
    <w:rsid w:val="005D1310"/>
    <w:rsid w:val="005D1F2F"/>
    <w:rsid w:val="005D1F83"/>
    <w:rsid w:val="005D25FB"/>
    <w:rsid w:val="005D2848"/>
    <w:rsid w:val="005D5147"/>
    <w:rsid w:val="005D673F"/>
    <w:rsid w:val="005D6D92"/>
    <w:rsid w:val="005D7615"/>
    <w:rsid w:val="005D7C9D"/>
    <w:rsid w:val="005E0A4B"/>
    <w:rsid w:val="005E0A8E"/>
    <w:rsid w:val="005E0FF6"/>
    <w:rsid w:val="005E1449"/>
    <w:rsid w:val="005E173A"/>
    <w:rsid w:val="005E1813"/>
    <w:rsid w:val="005E1E25"/>
    <w:rsid w:val="005E2567"/>
    <w:rsid w:val="005E3233"/>
    <w:rsid w:val="005E377C"/>
    <w:rsid w:val="005E3DD1"/>
    <w:rsid w:val="005E3EF8"/>
    <w:rsid w:val="005E448F"/>
    <w:rsid w:val="005E488E"/>
    <w:rsid w:val="005E48A4"/>
    <w:rsid w:val="005E4969"/>
    <w:rsid w:val="005E4A14"/>
    <w:rsid w:val="005E5A1C"/>
    <w:rsid w:val="005E6285"/>
    <w:rsid w:val="005E6BB8"/>
    <w:rsid w:val="005E6F62"/>
    <w:rsid w:val="005E78C1"/>
    <w:rsid w:val="005E7E9C"/>
    <w:rsid w:val="005F07C0"/>
    <w:rsid w:val="005F0C94"/>
    <w:rsid w:val="005F12FD"/>
    <w:rsid w:val="005F29A6"/>
    <w:rsid w:val="005F2D1A"/>
    <w:rsid w:val="005F3272"/>
    <w:rsid w:val="005F3399"/>
    <w:rsid w:val="005F34BA"/>
    <w:rsid w:val="005F365D"/>
    <w:rsid w:val="005F3D36"/>
    <w:rsid w:val="005F478A"/>
    <w:rsid w:val="005F4816"/>
    <w:rsid w:val="005F489B"/>
    <w:rsid w:val="005F5382"/>
    <w:rsid w:val="005F5824"/>
    <w:rsid w:val="005F5827"/>
    <w:rsid w:val="005F5A3F"/>
    <w:rsid w:val="005F711F"/>
    <w:rsid w:val="005F79D2"/>
    <w:rsid w:val="00600282"/>
    <w:rsid w:val="00600A07"/>
    <w:rsid w:val="00600BF5"/>
    <w:rsid w:val="006011BE"/>
    <w:rsid w:val="00601C6B"/>
    <w:rsid w:val="00602223"/>
    <w:rsid w:val="006023B5"/>
    <w:rsid w:val="00602521"/>
    <w:rsid w:val="006026BF"/>
    <w:rsid w:val="006034AD"/>
    <w:rsid w:val="00603F91"/>
    <w:rsid w:val="0060488E"/>
    <w:rsid w:val="00604CC1"/>
    <w:rsid w:val="00604D87"/>
    <w:rsid w:val="00604F57"/>
    <w:rsid w:val="00605739"/>
    <w:rsid w:val="00605AB6"/>
    <w:rsid w:val="00605CB3"/>
    <w:rsid w:val="00607B06"/>
    <w:rsid w:val="00610075"/>
    <w:rsid w:val="00610465"/>
    <w:rsid w:val="00610544"/>
    <w:rsid w:val="00610677"/>
    <w:rsid w:val="0061106F"/>
    <w:rsid w:val="00612B09"/>
    <w:rsid w:val="00612DA2"/>
    <w:rsid w:val="00612FD4"/>
    <w:rsid w:val="00613AC2"/>
    <w:rsid w:val="00615354"/>
    <w:rsid w:val="006174CC"/>
    <w:rsid w:val="00617733"/>
    <w:rsid w:val="0061775F"/>
    <w:rsid w:val="0061779D"/>
    <w:rsid w:val="00617BEC"/>
    <w:rsid w:val="00617E94"/>
    <w:rsid w:val="00620D98"/>
    <w:rsid w:val="00620F9D"/>
    <w:rsid w:val="006216F0"/>
    <w:rsid w:val="00621A56"/>
    <w:rsid w:val="00621BB3"/>
    <w:rsid w:val="006222E3"/>
    <w:rsid w:val="00622C04"/>
    <w:rsid w:val="0062369D"/>
    <w:rsid w:val="00623D6A"/>
    <w:rsid w:val="00623EAC"/>
    <w:rsid w:val="00624BB3"/>
    <w:rsid w:val="00624F31"/>
    <w:rsid w:val="00625121"/>
    <w:rsid w:val="0062518B"/>
    <w:rsid w:val="00627729"/>
    <w:rsid w:val="00627A86"/>
    <w:rsid w:val="00627D73"/>
    <w:rsid w:val="0063141F"/>
    <w:rsid w:val="00631576"/>
    <w:rsid w:val="0063162F"/>
    <w:rsid w:val="00632B33"/>
    <w:rsid w:val="00633A43"/>
    <w:rsid w:val="00634AB4"/>
    <w:rsid w:val="00635C85"/>
    <w:rsid w:val="00636410"/>
    <w:rsid w:val="006366EA"/>
    <w:rsid w:val="00636A44"/>
    <w:rsid w:val="00636A6F"/>
    <w:rsid w:val="0063739D"/>
    <w:rsid w:val="00637C18"/>
    <w:rsid w:val="00637E51"/>
    <w:rsid w:val="00640185"/>
    <w:rsid w:val="006415DA"/>
    <w:rsid w:val="00641741"/>
    <w:rsid w:val="006418C7"/>
    <w:rsid w:val="0064193E"/>
    <w:rsid w:val="00642F10"/>
    <w:rsid w:val="0064451A"/>
    <w:rsid w:val="006445BA"/>
    <w:rsid w:val="006446B0"/>
    <w:rsid w:val="006450EC"/>
    <w:rsid w:val="00645287"/>
    <w:rsid w:val="0064569E"/>
    <w:rsid w:val="00645EF2"/>
    <w:rsid w:val="00646D28"/>
    <w:rsid w:val="00646F01"/>
    <w:rsid w:val="006473C8"/>
    <w:rsid w:val="00647B36"/>
    <w:rsid w:val="00650EC5"/>
    <w:rsid w:val="00650F43"/>
    <w:rsid w:val="006511C0"/>
    <w:rsid w:val="006517D9"/>
    <w:rsid w:val="006519CA"/>
    <w:rsid w:val="006521E1"/>
    <w:rsid w:val="00653179"/>
    <w:rsid w:val="00653417"/>
    <w:rsid w:val="0065363D"/>
    <w:rsid w:val="00653D4B"/>
    <w:rsid w:val="00653F62"/>
    <w:rsid w:val="00654316"/>
    <w:rsid w:val="00654E6D"/>
    <w:rsid w:val="00655261"/>
    <w:rsid w:val="006559FB"/>
    <w:rsid w:val="00655A6B"/>
    <w:rsid w:val="006566FD"/>
    <w:rsid w:val="006571DA"/>
    <w:rsid w:val="00657455"/>
    <w:rsid w:val="0066015B"/>
    <w:rsid w:val="00660D40"/>
    <w:rsid w:val="00661512"/>
    <w:rsid w:val="00661F2D"/>
    <w:rsid w:val="0066408D"/>
    <w:rsid w:val="006643A5"/>
    <w:rsid w:val="0066473F"/>
    <w:rsid w:val="00664926"/>
    <w:rsid w:val="00665C33"/>
    <w:rsid w:val="006663AA"/>
    <w:rsid w:val="006703E4"/>
    <w:rsid w:val="006719D9"/>
    <w:rsid w:val="00671DBE"/>
    <w:rsid w:val="006724D3"/>
    <w:rsid w:val="00675323"/>
    <w:rsid w:val="00675F9C"/>
    <w:rsid w:val="006763BF"/>
    <w:rsid w:val="006771EC"/>
    <w:rsid w:val="00677C34"/>
    <w:rsid w:val="00677F5F"/>
    <w:rsid w:val="00681B79"/>
    <w:rsid w:val="00681B9A"/>
    <w:rsid w:val="006820BC"/>
    <w:rsid w:val="006821F2"/>
    <w:rsid w:val="006825B7"/>
    <w:rsid w:val="00682E91"/>
    <w:rsid w:val="0068454B"/>
    <w:rsid w:val="006857D2"/>
    <w:rsid w:val="00686011"/>
    <w:rsid w:val="006863C5"/>
    <w:rsid w:val="00686866"/>
    <w:rsid w:val="00687B07"/>
    <w:rsid w:val="00690540"/>
    <w:rsid w:val="00691547"/>
    <w:rsid w:val="006924C8"/>
    <w:rsid w:val="00692815"/>
    <w:rsid w:val="0069335E"/>
    <w:rsid w:val="00693486"/>
    <w:rsid w:val="0069361E"/>
    <w:rsid w:val="0069374F"/>
    <w:rsid w:val="00693CC5"/>
    <w:rsid w:val="00693D90"/>
    <w:rsid w:val="00694C6C"/>
    <w:rsid w:val="00694E2B"/>
    <w:rsid w:val="00694F0F"/>
    <w:rsid w:val="00695494"/>
    <w:rsid w:val="00695D83"/>
    <w:rsid w:val="00695E06"/>
    <w:rsid w:val="006961AE"/>
    <w:rsid w:val="0069642B"/>
    <w:rsid w:val="006967A9"/>
    <w:rsid w:val="006968B9"/>
    <w:rsid w:val="00696D29"/>
    <w:rsid w:val="00696E62"/>
    <w:rsid w:val="00697844"/>
    <w:rsid w:val="00697A0C"/>
    <w:rsid w:val="006A07CD"/>
    <w:rsid w:val="006A093C"/>
    <w:rsid w:val="006A0B0C"/>
    <w:rsid w:val="006A2040"/>
    <w:rsid w:val="006A2052"/>
    <w:rsid w:val="006A2531"/>
    <w:rsid w:val="006A3306"/>
    <w:rsid w:val="006A4073"/>
    <w:rsid w:val="006A4ADD"/>
    <w:rsid w:val="006A571C"/>
    <w:rsid w:val="006A57FE"/>
    <w:rsid w:val="006A5C6C"/>
    <w:rsid w:val="006A5D23"/>
    <w:rsid w:val="006A5F5E"/>
    <w:rsid w:val="006A6DB8"/>
    <w:rsid w:val="006A7239"/>
    <w:rsid w:val="006A7523"/>
    <w:rsid w:val="006B0202"/>
    <w:rsid w:val="006B050F"/>
    <w:rsid w:val="006B14E1"/>
    <w:rsid w:val="006B19B9"/>
    <w:rsid w:val="006B24E9"/>
    <w:rsid w:val="006B25ED"/>
    <w:rsid w:val="006B2960"/>
    <w:rsid w:val="006B2990"/>
    <w:rsid w:val="006B2A05"/>
    <w:rsid w:val="006B2BA6"/>
    <w:rsid w:val="006B3083"/>
    <w:rsid w:val="006B4E1B"/>
    <w:rsid w:val="006B62F5"/>
    <w:rsid w:val="006B703A"/>
    <w:rsid w:val="006B75A2"/>
    <w:rsid w:val="006B76D4"/>
    <w:rsid w:val="006B7BF7"/>
    <w:rsid w:val="006C025C"/>
    <w:rsid w:val="006C0724"/>
    <w:rsid w:val="006C0765"/>
    <w:rsid w:val="006C0DB3"/>
    <w:rsid w:val="006C18A0"/>
    <w:rsid w:val="006C2231"/>
    <w:rsid w:val="006C245A"/>
    <w:rsid w:val="006C2535"/>
    <w:rsid w:val="006C2F84"/>
    <w:rsid w:val="006C378F"/>
    <w:rsid w:val="006C3E0C"/>
    <w:rsid w:val="006C40A4"/>
    <w:rsid w:val="006C412C"/>
    <w:rsid w:val="006C4BEC"/>
    <w:rsid w:val="006C54A8"/>
    <w:rsid w:val="006C5C8C"/>
    <w:rsid w:val="006D0BEB"/>
    <w:rsid w:val="006D0EB8"/>
    <w:rsid w:val="006D1773"/>
    <w:rsid w:val="006D1DA4"/>
    <w:rsid w:val="006D1F04"/>
    <w:rsid w:val="006D22FD"/>
    <w:rsid w:val="006D2341"/>
    <w:rsid w:val="006D2AFD"/>
    <w:rsid w:val="006D2F92"/>
    <w:rsid w:val="006D3D4B"/>
    <w:rsid w:val="006D41D3"/>
    <w:rsid w:val="006D4712"/>
    <w:rsid w:val="006D4BE9"/>
    <w:rsid w:val="006D4FF8"/>
    <w:rsid w:val="006D5A83"/>
    <w:rsid w:val="006D6692"/>
    <w:rsid w:val="006D673E"/>
    <w:rsid w:val="006D710A"/>
    <w:rsid w:val="006D760B"/>
    <w:rsid w:val="006D7B20"/>
    <w:rsid w:val="006E1496"/>
    <w:rsid w:val="006E15A8"/>
    <w:rsid w:val="006E1651"/>
    <w:rsid w:val="006E2430"/>
    <w:rsid w:val="006E2CFF"/>
    <w:rsid w:val="006E313E"/>
    <w:rsid w:val="006E601D"/>
    <w:rsid w:val="006E67A6"/>
    <w:rsid w:val="006E6A4E"/>
    <w:rsid w:val="006E6A73"/>
    <w:rsid w:val="006E6DEB"/>
    <w:rsid w:val="006E6F2A"/>
    <w:rsid w:val="006E7240"/>
    <w:rsid w:val="006E730C"/>
    <w:rsid w:val="006E78BD"/>
    <w:rsid w:val="006E7A2B"/>
    <w:rsid w:val="006E7EBA"/>
    <w:rsid w:val="006F0B0F"/>
    <w:rsid w:val="006F1A09"/>
    <w:rsid w:val="006F217D"/>
    <w:rsid w:val="006F289A"/>
    <w:rsid w:val="006F289C"/>
    <w:rsid w:val="006F32A9"/>
    <w:rsid w:val="006F3566"/>
    <w:rsid w:val="006F38C8"/>
    <w:rsid w:val="006F402A"/>
    <w:rsid w:val="006F4183"/>
    <w:rsid w:val="006F4F11"/>
    <w:rsid w:val="006F54D7"/>
    <w:rsid w:val="006F553F"/>
    <w:rsid w:val="006F59F9"/>
    <w:rsid w:val="006F6379"/>
    <w:rsid w:val="006F6772"/>
    <w:rsid w:val="006F6854"/>
    <w:rsid w:val="006F6CB3"/>
    <w:rsid w:val="006F7731"/>
    <w:rsid w:val="006F7BD9"/>
    <w:rsid w:val="006F7EB8"/>
    <w:rsid w:val="00700267"/>
    <w:rsid w:val="0070044D"/>
    <w:rsid w:val="00701247"/>
    <w:rsid w:val="007016F0"/>
    <w:rsid w:val="007020DB"/>
    <w:rsid w:val="007024DA"/>
    <w:rsid w:val="0070346F"/>
    <w:rsid w:val="00705574"/>
    <w:rsid w:val="00705FB8"/>
    <w:rsid w:val="00706702"/>
    <w:rsid w:val="007070E0"/>
    <w:rsid w:val="0071033B"/>
    <w:rsid w:val="007107D2"/>
    <w:rsid w:val="00711D94"/>
    <w:rsid w:val="007129ED"/>
    <w:rsid w:val="00712B14"/>
    <w:rsid w:val="007139F6"/>
    <w:rsid w:val="00714C61"/>
    <w:rsid w:val="00715AE3"/>
    <w:rsid w:val="00715D31"/>
    <w:rsid w:val="00715DC6"/>
    <w:rsid w:val="00716ADC"/>
    <w:rsid w:val="00716D78"/>
    <w:rsid w:val="00716F8F"/>
    <w:rsid w:val="0071724D"/>
    <w:rsid w:val="00717B89"/>
    <w:rsid w:val="0072082B"/>
    <w:rsid w:val="00721269"/>
    <w:rsid w:val="00721DFB"/>
    <w:rsid w:val="00721F04"/>
    <w:rsid w:val="00722206"/>
    <w:rsid w:val="00724B3C"/>
    <w:rsid w:val="00724D3A"/>
    <w:rsid w:val="00724D72"/>
    <w:rsid w:val="0072522F"/>
    <w:rsid w:val="007253BB"/>
    <w:rsid w:val="0072599B"/>
    <w:rsid w:val="00725FE0"/>
    <w:rsid w:val="0072602D"/>
    <w:rsid w:val="00726A04"/>
    <w:rsid w:val="00726A3D"/>
    <w:rsid w:val="00726D73"/>
    <w:rsid w:val="007275E9"/>
    <w:rsid w:val="007276EF"/>
    <w:rsid w:val="00730AE6"/>
    <w:rsid w:val="0073138B"/>
    <w:rsid w:val="0073188E"/>
    <w:rsid w:val="00732401"/>
    <w:rsid w:val="00733789"/>
    <w:rsid w:val="00733DAE"/>
    <w:rsid w:val="00733FAC"/>
    <w:rsid w:val="00734441"/>
    <w:rsid w:val="00734C24"/>
    <w:rsid w:val="0073539D"/>
    <w:rsid w:val="00735DBB"/>
    <w:rsid w:val="00735E3A"/>
    <w:rsid w:val="00737201"/>
    <w:rsid w:val="00737451"/>
    <w:rsid w:val="007375BD"/>
    <w:rsid w:val="007377BB"/>
    <w:rsid w:val="0074030B"/>
    <w:rsid w:val="00740B30"/>
    <w:rsid w:val="00740F89"/>
    <w:rsid w:val="007410E5"/>
    <w:rsid w:val="00741FB0"/>
    <w:rsid w:val="00742207"/>
    <w:rsid w:val="0074344A"/>
    <w:rsid w:val="00743D6B"/>
    <w:rsid w:val="007440C0"/>
    <w:rsid w:val="00744157"/>
    <w:rsid w:val="0074468B"/>
    <w:rsid w:val="00744C84"/>
    <w:rsid w:val="007452DC"/>
    <w:rsid w:val="0074531E"/>
    <w:rsid w:val="00745580"/>
    <w:rsid w:val="007458C9"/>
    <w:rsid w:val="00747A7A"/>
    <w:rsid w:val="00747CB4"/>
    <w:rsid w:val="00750902"/>
    <w:rsid w:val="00750D74"/>
    <w:rsid w:val="00751E82"/>
    <w:rsid w:val="00752371"/>
    <w:rsid w:val="00752B39"/>
    <w:rsid w:val="00752E68"/>
    <w:rsid w:val="00753546"/>
    <w:rsid w:val="007538EE"/>
    <w:rsid w:val="00753E41"/>
    <w:rsid w:val="00753E80"/>
    <w:rsid w:val="00755225"/>
    <w:rsid w:val="007553DB"/>
    <w:rsid w:val="007558B7"/>
    <w:rsid w:val="007559BC"/>
    <w:rsid w:val="00756887"/>
    <w:rsid w:val="00756DFC"/>
    <w:rsid w:val="007574EC"/>
    <w:rsid w:val="00757F00"/>
    <w:rsid w:val="007600F1"/>
    <w:rsid w:val="007602C5"/>
    <w:rsid w:val="00760869"/>
    <w:rsid w:val="007615F7"/>
    <w:rsid w:val="007617BA"/>
    <w:rsid w:val="007618AC"/>
    <w:rsid w:val="00761905"/>
    <w:rsid w:val="00762107"/>
    <w:rsid w:val="00762178"/>
    <w:rsid w:val="00763893"/>
    <w:rsid w:val="00763B28"/>
    <w:rsid w:val="007642F9"/>
    <w:rsid w:val="00765B43"/>
    <w:rsid w:val="00766AA7"/>
    <w:rsid w:val="00766BD3"/>
    <w:rsid w:val="007670E4"/>
    <w:rsid w:val="00767A7E"/>
    <w:rsid w:val="00770DAE"/>
    <w:rsid w:val="00770F96"/>
    <w:rsid w:val="0077130E"/>
    <w:rsid w:val="00771B3A"/>
    <w:rsid w:val="00776F30"/>
    <w:rsid w:val="0077783C"/>
    <w:rsid w:val="00777EF5"/>
    <w:rsid w:val="0078101F"/>
    <w:rsid w:val="0078107A"/>
    <w:rsid w:val="00781D61"/>
    <w:rsid w:val="00781D69"/>
    <w:rsid w:val="0078274B"/>
    <w:rsid w:val="0078282E"/>
    <w:rsid w:val="007837F0"/>
    <w:rsid w:val="00783CCA"/>
    <w:rsid w:val="00784662"/>
    <w:rsid w:val="00784A11"/>
    <w:rsid w:val="00785613"/>
    <w:rsid w:val="007856CF"/>
    <w:rsid w:val="00786706"/>
    <w:rsid w:val="007867A4"/>
    <w:rsid w:val="00787713"/>
    <w:rsid w:val="00790347"/>
    <w:rsid w:val="00790BEB"/>
    <w:rsid w:val="00791AC9"/>
    <w:rsid w:val="00791E67"/>
    <w:rsid w:val="00792317"/>
    <w:rsid w:val="00792E9F"/>
    <w:rsid w:val="00792F60"/>
    <w:rsid w:val="00793508"/>
    <w:rsid w:val="0079479E"/>
    <w:rsid w:val="00794BAC"/>
    <w:rsid w:val="0079611F"/>
    <w:rsid w:val="00797213"/>
    <w:rsid w:val="007975CF"/>
    <w:rsid w:val="0079793D"/>
    <w:rsid w:val="00797FD9"/>
    <w:rsid w:val="007A118A"/>
    <w:rsid w:val="007A1DCA"/>
    <w:rsid w:val="007A2421"/>
    <w:rsid w:val="007A2617"/>
    <w:rsid w:val="007A2C3F"/>
    <w:rsid w:val="007A3E03"/>
    <w:rsid w:val="007A4701"/>
    <w:rsid w:val="007A48C6"/>
    <w:rsid w:val="007A4A8B"/>
    <w:rsid w:val="007A5F28"/>
    <w:rsid w:val="007A6C62"/>
    <w:rsid w:val="007A71F7"/>
    <w:rsid w:val="007A75F6"/>
    <w:rsid w:val="007A7BBD"/>
    <w:rsid w:val="007A7DA8"/>
    <w:rsid w:val="007A7EED"/>
    <w:rsid w:val="007B099E"/>
    <w:rsid w:val="007B1449"/>
    <w:rsid w:val="007B14B8"/>
    <w:rsid w:val="007B1713"/>
    <w:rsid w:val="007B2960"/>
    <w:rsid w:val="007B3268"/>
    <w:rsid w:val="007B3558"/>
    <w:rsid w:val="007B3585"/>
    <w:rsid w:val="007B3D0D"/>
    <w:rsid w:val="007B3D8B"/>
    <w:rsid w:val="007B3E1F"/>
    <w:rsid w:val="007B5258"/>
    <w:rsid w:val="007B560E"/>
    <w:rsid w:val="007B5EE3"/>
    <w:rsid w:val="007B6347"/>
    <w:rsid w:val="007B7501"/>
    <w:rsid w:val="007C1817"/>
    <w:rsid w:val="007C3045"/>
    <w:rsid w:val="007C35B6"/>
    <w:rsid w:val="007C3A10"/>
    <w:rsid w:val="007C3E15"/>
    <w:rsid w:val="007C46D3"/>
    <w:rsid w:val="007C61AC"/>
    <w:rsid w:val="007C69C0"/>
    <w:rsid w:val="007C6BD6"/>
    <w:rsid w:val="007C6E26"/>
    <w:rsid w:val="007C70EB"/>
    <w:rsid w:val="007D0184"/>
    <w:rsid w:val="007D02DA"/>
    <w:rsid w:val="007D0424"/>
    <w:rsid w:val="007D0B55"/>
    <w:rsid w:val="007D110B"/>
    <w:rsid w:val="007D1C8A"/>
    <w:rsid w:val="007D2669"/>
    <w:rsid w:val="007D2B8C"/>
    <w:rsid w:val="007D2E3D"/>
    <w:rsid w:val="007D3033"/>
    <w:rsid w:val="007D3B16"/>
    <w:rsid w:val="007D3E90"/>
    <w:rsid w:val="007D42C2"/>
    <w:rsid w:val="007D55EB"/>
    <w:rsid w:val="007D584F"/>
    <w:rsid w:val="007D5E56"/>
    <w:rsid w:val="007D5F82"/>
    <w:rsid w:val="007D65F3"/>
    <w:rsid w:val="007D6625"/>
    <w:rsid w:val="007D6A0A"/>
    <w:rsid w:val="007D7442"/>
    <w:rsid w:val="007D7CFE"/>
    <w:rsid w:val="007D7EFD"/>
    <w:rsid w:val="007E124F"/>
    <w:rsid w:val="007E13D0"/>
    <w:rsid w:val="007E1CBF"/>
    <w:rsid w:val="007E1E18"/>
    <w:rsid w:val="007E2944"/>
    <w:rsid w:val="007E2E31"/>
    <w:rsid w:val="007E4118"/>
    <w:rsid w:val="007E561B"/>
    <w:rsid w:val="007E5FE7"/>
    <w:rsid w:val="007E7097"/>
    <w:rsid w:val="007E7616"/>
    <w:rsid w:val="007E7F0E"/>
    <w:rsid w:val="007F0486"/>
    <w:rsid w:val="007F07CE"/>
    <w:rsid w:val="007F0BBE"/>
    <w:rsid w:val="007F0E56"/>
    <w:rsid w:val="007F12DB"/>
    <w:rsid w:val="007F226F"/>
    <w:rsid w:val="007F2B2D"/>
    <w:rsid w:val="007F33DA"/>
    <w:rsid w:val="007F40C3"/>
    <w:rsid w:val="007F5DDA"/>
    <w:rsid w:val="007F61B4"/>
    <w:rsid w:val="007F686E"/>
    <w:rsid w:val="007F6C9B"/>
    <w:rsid w:val="007F6D9D"/>
    <w:rsid w:val="007F7F1C"/>
    <w:rsid w:val="0080083E"/>
    <w:rsid w:val="00801F1C"/>
    <w:rsid w:val="008039FC"/>
    <w:rsid w:val="0080415A"/>
    <w:rsid w:val="008044CB"/>
    <w:rsid w:val="0080453D"/>
    <w:rsid w:val="0080486F"/>
    <w:rsid w:val="00805FF8"/>
    <w:rsid w:val="0080613E"/>
    <w:rsid w:val="00806780"/>
    <w:rsid w:val="00807A15"/>
    <w:rsid w:val="0081298E"/>
    <w:rsid w:val="008130F3"/>
    <w:rsid w:val="0081311F"/>
    <w:rsid w:val="00813388"/>
    <w:rsid w:val="00813EF6"/>
    <w:rsid w:val="00815D56"/>
    <w:rsid w:val="008161FC"/>
    <w:rsid w:val="00816514"/>
    <w:rsid w:val="00817337"/>
    <w:rsid w:val="0081744E"/>
    <w:rsid w:val="00817859"/>
    <w:rsid w:val="008207E5"/>
    <w:rsid w:val="0082158B"/>
    <w:rsid w:val="0082193C"/>
    <w:rsid w:val="00821C68"/>
    <w:rsid w:val="00822944"/>
    <w:rsid w:val="00824184"/>
    <w:rsid w:val="008245B5"/>
    <w:rsid w:val="008247A4"/>
    <w:rsid w:val="00824940"/>
    <w:rsid w:val="00824DF1"/>
    <w:rsid w:val="00825A0B"/>
    <w:rsid w:val="00825DFB"/>
    <w:rsid w:val="00826899"/>
    <w:rsid w:val="00827676"/>
    <w:rsid w:val="00827CDB"/>
    <w:rsid w:val="00830A8C"/>
    <w:rsid w:val="008318D2"/>
    <w:rsid w:val="00831A17"/>
    <w:rsid w:val="00832420"/>
    <w:rsid w:val="008327FB"/>
    <w:rsid w:val="00833C7F"/>
    <w:rsid w:val="00834A57"/>
    <w:rsid w:val="00834CB1"/>
    <w:rsid w:val="00834CEE"/>
    <w:rsid w:val="00834D30"/>
    <w:rsid w:val="00835409"/>
    <w:rsid w:val="008355A1"/>
    <w:rsid w:val="0083569D"/>
    <w:rsid w:val="00835714"/>
    <w:rsid w:val="00835A75"/>
    <w:rsid w:val="0083754F"/>
    <w:rsid w:val="00837685"/>
    <w:rsid w:val="008377AF"/>
    <w:rsid w:val="0084030F"/>
    <w:rsid w:val="00842024"/>
    <w:rsid w:val="0084226C"/>
    <w:rsid w:val="008424A2"/>
    <w:rsid w:val="008428D2"/>
    <w:rsid w:val="008438D7"/>
    <w:rsid w:val="00843AF8"/>
    <w:rsid w:val="00843C8F"/>
    <w:rsid w:val="00844863"/>
    <w:rsid w:val="008459B5"/>
    <w:rsid w:val="00845E99"/>
    <w:rsid w:val="00846DD0"/>
    <w:rsid w:val="0084709F"/>
    <w:rsid w:val="00847951"/>
    <w:rsid w:val="00847CD4"/>
    <w:rsid w:val="008501C3"/>
    <w:rsid w:val="008512DF"/>
    <w:rsid w:val="008524A1"/>
    <w:rsid w:val="00852500"/>
    <w:rsid w:val="00852C3B"/>
    <w:rsid w:val="00853BF3"/>
    <w:rsid w:val="00854230"/>
    <w:rsid w:val="0085423D"/>
    <w:rsid w:val="00854B6E"/>
    <w:rsid w:val="00854DDC"/>
    <w:rsid w:val="00856C8B"/>
    <w:rsid w:val="0085738D"/>
    <w:rsid w:val="0085769A"/>
    <w:rsid w:val="00857C75"/>
    <w:rsid w:val="0086022B"/>
    <w:rsid w:val="00860792"/>
    <w:rsid w:val="008612A9"/>
    <w:rsid w:val="00861BF2"/>
    <w:rsid w:val="00862070"/>
    <w:rsid w:val="0086216C"/>
    <w:rsid w:val="008621AE"/>
    <w:rsid w:val="00862912"/>
    <w:rsid w:val="00863A9E"/>
    <w:rsid w:val="00863B42"/>
    <w:rsid w:val="00865718"/>
    <w:rsid w:val="008664E0"/>
    <w:rsid w:val="0086685A"/>
    <w:rsid w:val="00867D07"/>
    <w:rsid w:val="00870038"/>
    <w:rsid w:val="0087026E"/>
    <w:rsid w:val="00871F99"/>
    <w:rsid w:val="00872A72"/>
    <w:rsid w:val="008737E1"/>
    <w:rsid w:val="00873D93"/>
    <w:rsid w:val="00873DFA"/>
    <w:rsid w:val="008745C3"/>
    <w:rsid w:val="00874B98"/>
    <w:rsid w:val="00874CB8"/>
    <w:rsid w:val="00875A40"/>
    <w:rsid w:val="00875E1A"/>
    <w:rsid w:val="00876508"/>
    <w:rsid w:val="00876602"/>
    <w:rsid w:val="0087673F"/>
    <w:rsid w:val="00877436"/>
    <w:rsid w:val="008774F2"/>
    <w:rsid w:val="0087765A"/>
    <w:rsid w:val="00877A0A"/>
    <w:rsid w:val="00877C60"/>
    <w:rsid w:val="00880718"/>
    <w:rsid w:val="00880A98"/>
    <w:rsid w:val="0088100B"/>
    <w:rsid w:val="008818AB"/>
    <w:rsid w:val="008818E3"/>
    <w:rsid w:val="00881D06"/>
    <w:rsid w:val="008823E2"/>
    <w:rsid w:val="00882D69"/>
    <w:rsid w:val="00883A10"/>
    <w:rsid w:val="00883A50"/>
    <w:rsid w:val="00884BF1"/>
    <w:rsid w:val="00884C30"/>
    <w:rsid w:val="00886021"/>
    <w:rsid w:val="0088767F"/>
    <w:rsid w:val="00887FF5"/>
    <w:rsid w:val="008909AD"/>
    <w:rsid w:val="00890B7B"/>
    <w:rsid w:val="008925DB"/>
    <w:rsid w:val="00893016"/>
    <w:rsid w:val="00894716"/>
    <w:rsid w:val="00894EE6"/>
    <w:rsid w:val="00895BC9"/>
    <w:rsid w:val="00896438"/>
    <w:rsid w:val="00897063"/>
    <w:rsid w:val="008974B9"/>
    <w:rsid w:val="008A053A"/>
    <w:rsid w:val="008A0B87"/>
    <w:rsid w:val="008A125C"/>
    <w:rsid w:val="008A222C"/>
    <w:rsid w:val="008A273F"/>
    <w:rsid w:val="008A3661"/>
    <w:rsid w:val="008A3882"/>
    <w:rsid w:val="008A3F36"/>
    <w:rsid w:val="008A57DF"/>
    <w:rsid w:val="008A5DEB"/>
    <w:rsid w:val="008A6831"/>
    <w:rsid w:val="008A7FE5"/>
    <w:rsid w:val="008B0342"/>
    <w:rsid w:val="008B052D"/>
    <w:rsid w:val="008B08C3"/>
    <w:rsid w:val="008B0ED1"/>
    <w:rsid w:val="008B1C35"/>
    <w:rsid w:val="008B269F"/>
    <w:rsid w:val="008B272F"/>
    <w:rsid w:val="008B3CCB"/>
    <w:rsid w:val="008B461C"/>
    <w:rsid w:val="008B510A"/>
    <w:rsid w:val="008B547F"/>
    <w:rsid w:val="008B6BCE"/>
    <w:rsid w:val="008B7F6F"/>
    <w:rsid w:val="008B7FC8"/>
    <w:rsid w:val="008C01BE"/>
    <w:rsid w:val="008C0401"/>
    <w:rsid w:val="008C0B67"/>
    <w:rsid w:val="008C1BA1"/>
    <w:rsid w:val="008C2335"/>
    <w:rsid w:val="008C23BF"/>
    <w:rsid w:val="008C2A63"/>
    <w:rsid w:val="008C37D7"/>
    <w:rsid w:val="008C3BCB"/>
    <w:rsid w:val="008C3E5F"/>
    <w:rsid w:val="008C5272"/>
    <w:rsid w:val="008C591A"/>
    <w:rsid w:val="008C5997"/>
    <w:rsid w:val="008C5DAA"/>
    <w:rsid w:val="008C61E8"/>
    <w:rsid w:val="008C7868"/>
    <w:rsid w:val="008C7B47"/>
    <w:rsid w:val="008C7DE4"/>
    <w:rsid w:val="008D0BCC"/>
    <w:rsid w:val="008D1313"/>
    <w:rsid w:val="008D17D9"/>
    <w:rsid w:val="008D1C95"/>
    <w:rsid w:val="008D242E"/>
    <w:rsid w:val="008D2F86"/>
    <w:rsid w:val="008D3149"/>
    <w:rsid w:val="008D3A65"/>
    <w:rsid w:val="008D3AC1"/>
    <w:rsid w:val="008D3CBB"/>
    <w:rsid w:val="008D3EF2"/>
    <w:rsid w:val="008D4612"/>
    <w:rsid w:val="008D4821"/>
    <w:rsid w:val="008D64EE"/>
    <w:rsid w:val="008D676E"/>
    <w:rsid w:val="008D7E03"/>
    <w:rsid w:val="008E1A7B"/>
    <w:rsid w:val="008E3C84"/>
    <w:rsid w:val="008E43F7"/>
    <w:rsid w:val="008E4DEC"/>
    <w:rsid w:val="008E555D"/>
    <w:rsid w:val="008E5584"/>
    <w:rsid w:val="008E5C1A"/>
    <w:rsid w:val="008E5E7A"/>
    <w:rsid w:val="008E7147"/>
    <w:rsid w:val="008E736F"/>
    <w:rsid w:val="008E74E5"/>
    <w:rsid w:val="008E7598"/>
    <w:rsid w:val="008E79ED"/>
    <w:rsid w:val="008F02B0"/>
    <w:rsid w:val="008F0A95"/>
    <w:rsid w:val="008F0D15"/>
    <w:rsid w:val="008F1078"/>
    <w:rsid w:val="008F12DA"/>
    <w:rsid w:val="008F15CB"/>
    <w:rsid w:val="008F1FD7"/>
    <w:rsid w:val="008F1FDE"/>
    <w:rsid w:val="008F273E"/>
    <w:rsid w:val="008F29E9"/>
    <w:rsid w:val="008F2A79"/>
    <w:rsid w:val="008F3878"/>
    <w:rsid w:val="008F4149"/>
    <w:rsid w:val="008F5503"/>
    <w:rsid w:val="008F5E90"/>
    <w:rsid w:val="008F6354"/>
    <w:rsid w:val="008F669B"/>
    <w:rsid w:val="008F6E17"/>
    <w:rsid w:val="008F73A2"/>
    <w:rsid w:val="008F745C"/>
    <w:rsid w:val="008F7C98"/>
    <w:rsid w:val="0090120F"/>
    <w:rsid w:val="00902B15"/>
    <w:rsid w:val="009035B1"/>
    <w:rsid w:val="00904B02"/>
    <w:rsid w:val="00905481"/>
    <w:rsid w:val="00905790"/>
    <w:rsid w:val="00905B7E"/>
    <w:rsid w:val="0090657C"/>
    <w:rsid w:val="009067CF"/>
    <w:rsid w:val="009067E4"/>
    <w:rsid w:val="0090795C"/>
    <w:rsid w:val="00907BA6"/>
    <w:rsid w:val="00910B0A"/>
    <w:rsid w:val="009125F9"/>
    <w:rsid w:val="0091301C"/>
    <w:rsid w:val="00913079"/>
    <w:rsid w:val="00913190"/>
    <w:rsid w:val="009137AC"/>
    <w:rsid w:val="00913B7F"/>
    <w:rsid w:val="00913C9C"/>
    <w:rsid w:val="0091428B"/>
    <w:rsid w:val="009148E4"/>
    <w:rsid w:val="00914B4F"/>
    <w:rsid w:val="009152B5"/>
    <w:rsid w:val="00915375"/>
    <w:rsid w:val="009158A0"/>
    <w:rsid w:val="0091593C"/>
    <w:rsid w:val="00915AF0"/>
    <w:rsid w:val="00916322"/>
    <w:rsid w:val="00920068"/>
    <w:rsid w:val="009200D4"/>
    <w:rsid w:val="00920EAC"/>
    <w:rsid w:val="00921175"/>
    <w:rsid w:val="00921437"/>
    <w:rsid w:val="0092285A"/>
    <w:rsid w:val="00922E71"/>
    <w:rsid w:val="009232EF"/>
    <w:rsid w:val="0092368C"/>
    <w:rsid w:val="009249CB"/>
    <w:rsid w:val="00924D61"/>
    <w:rsid w:val="0092591E"/>
    <w:rsid w:val="00925C7E"/>
    <w:rsid w:val="009266AE"/>
    <w:rsid w:val="0092704C"/>
    <w:rsid w:val="0093002A"/>
    <w:rsid w:val="00930289"/>
    <w:rsid w:val="00930F4F"/>
    <w:rsid w:val="009314EA"/>
    <w:rsid w:val="009315BC"/>
    <w:rsid w:val="00931E41"/>
    <w:rsid w:val="00931F45"/>
    <w:rsid w:val="00932AD7"/>
    <w:rsid w:val="00933199"/>
    <w:rsid w:val="00933471"/>
    <w:rsid w:val="00934426"/>
    <w:rsid w:val="00934766"/>
    <w:rsid w:val="0093598A"/>
    <w:rsid w:val="00935B69"/>
    <w:rsid w:val="00935F53"/>
    <w:rsid w:val="0093609F"/>
    <w:rsid w:val="009370E8"/>
    <w:rsid w:val="00937205"/>
    <w:rsid w:val="0093780A"/>
    <w:rsid w:val="00937A80"/>
    <w:rsid w:val="00937AD9"/>
    <w:rsid w:val="00940C7E"/>
    <w:rsid w:val="009416EC"/>
    <w:rsid w:val="0094228D"/>
    <w:rsid w:val="0094395A"/>
    <w:rsid w:val="0094551F"/>
    <w:rsid w:val="00945762"/>
    <w:rsid w:val="00945AD6"/>
    <w:rsid w:val="00945B98"/>
    <w:rsid w:val="00945FBF"/>
    <w:rsid w:val="009466A4"/>
    <w:rsid w:val="0095074D"/>
    <w:rsid w:val="00950ED3"/>
    <w:rsid w:val="009515F8"/>
    <w:rsid w:val="009519EA"/>
    <w:rsid w:val="00951BBA"/>
    <w:rsid w:val="009522FF"/>
    <w:rsid w:val="00953AE5"/>
    <w:rsid w:val="00953E48"/>
    <w:rsid w:val="009540A4"/>
    <w:rsid w:val="009547FE"/>
    <w:rsid w:val="00954A9E"/>
    <w:rsid w:val="00954FE3"/>
    <w:rsid w:val="009554F9"/>
    <w:rsid w:val="00955691"/>
    <w:rsid w:val="00955C22"/>
    <w:rsid w:val="00956153"/>
    <w:rsid w:val="0095684A"/>
    <w:rsid w:val="0095794C"/>
    <w:rsid w:val="00960409"/>
    <w:rsid w:val="0096043B"/>
    <w:rsid w:val="00960BDB"/>
    <w:rsid w:val="009629BD"/>
    <w:rsid w:val="00963577"/>
    <w:rsid w:val="0096368A"/>
    <w:rsid w:val="00963939"/>
    <w:rsid w:val="00964FD0"/>
    <w:rsid w:val="009651CD"/>
    <w:rsid w:val="009659DD"/>
    <w:rsid w:val="00966A13"/>
    <w:rsid w:val="00966B31"/>
    <w:rsid w:val="009672AB"/>
    <w:rsid w:val="00967353"/>
    <w:rsid w:val="00967F99"/>
    <w:rsid w:val="009722DB"/>
    <w:rsid w:val="0097394B"/>
    <w:rsid w:val="00973C13"/>
    <w:rsid w:val="00974013"/>
    <w:rsid w:val="009748F2"/>
    <w:rsid w:val="0097535E"/>
    <w:rsid w:val="00975FF7"/>
    <w:rsid w:val="0097656E"/>
    <w:rsid w:val="009766A6"/>
    <w:rsid w:val="00977452"/>
    <w:rsid w:val="009803BF"/>
    <w:rsid w:val="00980483"/>
    <w:rsid w:val="00980985"/>
    <w:rsid w:val="00980AB0"/>
    <w:rsid w:val="0098138E"/>
    <w:rsid w:val="00981BBF"/>
    <w:rsid w:val="00981F1C"/>
    <w:rsid w:val="009820B9"/>
    <w:rsid w:val="009822FF"/>
    <w:rsid w:val="00982599"/>
    <w:rsid w:val="0098272D"/>
    <w:rsid w:val="00983166"/>
    <w:rsid w:val="00983357"/>
    <w:rsid w:val="00983745"/>
    <w:rsid w:val="0098376C"/>
    <w:rsid w:val="0098466A"/>
    <w:rsid w:val="00984AEB"/>
    <w:rsid w:val="00984E09"/>
    <w:rsid w:val="009857F1"/>
    <w:rsid w:val="00985F48"/>
    <w:rsid w:val="0098630E"/>
    <w:rsid w:val="00986BE3"/>
    <w:rsid w:val="00986F96"/>
    <w:rsid w:val="009873B4"/>
    <w:rsid w:val="009873FA"/>
    <w:rsid w:val="00987940"/>
    <w:rsid w:val="0099008C"/>
    <w:rsid w:val="009915A1"/>
    <w:rsid w:val="0099201B"/>
    <w:rsid w:val="009929A0"/>
    <w:rsid w:val="009930E0"/>
    <w:rsid w:val="009943F5"/>
    <w:rsid w:val="00994E46"/>
    <w:rsid w:val="009951EF"/>
    <w:rsid w:val="0099614A"/>
    <w:rsid w:val="009A0A3D"/>
    <w:rsid w:val="009A0B41"/>
    <w:rsid w:val="009A0DA9"/>
    <w:rsid w:val="009A16E3"/>
    <w:rsid w:val="009A30BA"/>
    <w:rsid w:val="009A3C7F"/>
    <w:rsid w:val="009A3D25"/>
    <w:rsid w:val="009A3E19"/>
    <w:rsid w:val="009A439D"/>
    <w:rsid w:val="009A46A9"/>
    <w:rsid w:val="009A5E85"/>
    <w:rsid w:val="009A6F9A"/>
    <w:rsid w:val="009A7D8D"/>
    <w:rsid w:val="009B0AA0"/>
    <w:rsid w:val="009B0C88"/>
    <w:rsid w:val="009B0E43"/>
    <w:rsid w:val="009B2056"/>
    <w:rsid w:val="009B232F"/>
    <w:rsid w:val="009B2836"/>
    <w:rsid w:val="009B2DE6"/>
    <w:rsid w:val="009B3211"/>
    <w:rsid w:val="009B52C0"/>
    <w:rsid w:val="009B5622"/>
    <w:rsid w:val="009B590F"/>
    <w:rsid w:val="009B60C3"/>
    <w:rsid w:val="009B644D"/>
    <w:rsid w:val="009B6EFB"/>
    <w:rsid w:val="009B76D3"/>
    <w:rsid w:val="009B77C5"/>
    <w:rsid w:val="009B7C04"/>
    <w:rsid w:val="009B7E6C"/>
    <w:rsid w:val="009C019D"/>
    <w:rsid w:val="009C03EE"/>
    <w:rsid w:val="009C085C"/>
    <w:rsid w:val="009C15E3"/>
    <w:rsid w:val="009C2382"/>
    <w:rsid w:val="009C29A9"/>
    <w:rsid w:val="009C2E00"/>
    <w:rsid w:val="009C35E5"/>
    <w:rsid w:val="009C3EF0"/>
    <w:rsid w:val="009C4EB8"/>
    <w:rsid w:val="009C6072"/>
    <w:rsid w:val="009C66E8"/>
    <w:rsid w:val="009C6A87"/>
    <w:rsid w:val="009C79E8"/>
    <w:rsid w:val="009D07C9"/>
    <w:rsid w:val="009D09F4"/>
    <w:rsid w:val="009D150F"/>
    <w:rsid w:val="009D19AB"/>
    <w:rsid w:val="009D1B17"/>
    <w:rsid w:val="009D2713"/>
    <w:rsid w:val="009D3748"/>
    <w:rsid w:val="009D3F34"/>
    <w:rsid w:val="009D4B39"/>
    <w:rsid w:val="009D4F9E"/>
    <w:rsid w:val="009D5C85"/>
    <w:rsid w:val="009D623E"/>
    <w:rsid w:val="009D64ED"/>
    <w:rsid w:val="009D67D6"/>
    <w:rsid w:val="009D6DD9"/>
    <w:rsid w:val="009D6E0B"/>
    <w:rsid w:val="009E11CC"/>
    <w:rsid w:val="009E1471"/>
    <w:rsid w:val="009E1DCD"/>
    <w:rsid w:val="009E1E17"/>
    <w:rsid w:val="009E341D"/>
    <w:rsid w:val="009E3991"/>
    <w:rsid w:val="009E3D1B"/>
    <w:rsid w:val="009E4051"/>
    <w:rsid w:val="009E437B"/>
    <w:rsid w:val="009E5616"/>
    <w:rsid w:val="009E57FE"/>
    <w:rsid w:val="009E5B54"/>
    <w:rsid w:val="009E6C4A"/>
    <w:rsid w:val="009E6F4E"/>
    <w:rsid w:val="009E70C4"/>
    <w:rsid w:val="009E7452"/>
    <w:rsid w:val="009F0286"/>
    <w:rsid w:val="009F04A7"/>
    <w:rsid w:val="009F0AF2"/>
    <w:rsid w:val="009F0EDC"/>
    <w:rsid w:val="009F269E"/>
    <w:rsid w:val="009F2706"/>
    <w:rsid w:val="009F3584"/>
    <w:rsid w:val="009F38D0"/>
    <w:rsid w:val="009F3914"/>
    <w:rsid w:val="009F43AD"/>
    <w:rsid w:val="009F4C35"/>
    <w:rsid w:val="009F5492"/>
    <w:rsid w:val="009F5E4D"/>
    <w:rsid w:val="009F5F54"/>
    <w:rsid w:val="009F6061"/>
    <w:rsid w:val="009F67D9"/>
    <w:rsid w:val="009F70A5"/>
    <w:rsid w:val="009F7757"/>
    <w:rsid w:val="00A00A9B"/>
    <w:rsid w:val="00A025BE"/>
    <w:rsid w:val="00A02D05"/>
    <w:rsid w:val="00A0310E"/>
    <w:rsid w:val="00A032B3"/>
    <w:rsid w:val="00A033EB"/>
    <w:rsid w:val="00A035D4"/>
    <w:rsid w:val="00A03BB8"/>
    <w:rsid w:val="00A05017"/>
    <w:rsid w:val="00A05212"/>
    <w:rsid w:val="00A05703"/>
    <w:rsid w:val="00A057A9"/>
    <w:rsid w:val="00A05894"/>
    <w:rsid w:val="00A0642B"/>
    <w:rsid w:val="00A06606"/>
    <w:rsid w:val="00A0701B"/>
    <w:rsid w:val="00A10847"/>
    <w:rsid w:val="00A110A6"/>
    <w:rsid w:val="00A128A9"/>
    <w:rsid w:val="00A13931"/>
    <w:rsid w:val="00A13D07"/>
    <w:rsid w:val="00A140FD"/>
    <w:rsid w:val="00A14712"/>
    <w:rsid w:val="00A15364"/>
    <w:rsid w:val="00A15636"/>
    <w:rsid w:val="00A15BC4"/>
    <w:rsid w:val="00A169A6"/>
    <w:rsid w:val="00A16DA1"/>
    <w:rsid w:val="00A16FBA"/>
    <w:rsid w:val="00A1725B"/>
    <w:rsid w:val="00A17284"/>
    <w:rsid w:val="00A2126D"/>
    <w:rsid w:val="00A21F90"/>
    <w:rsid w:val="00A22029"/>
    <w:rsid w:val="00A22813"/>
    <w:rsid w:val="00A23531"/>
    <w:rsid w:val="00A238F8"/>
    <w:rsid w:val="00A24090"/>
    <w:rsid w:val="00A24538"/>
    <w:rsid w:val="00A2488D"/>
    <w:rsid w:val="00A2489A"/>
    <w:rsid w:val="00A25A18"/>
    <w:rsid w:val="00A260CD"/>
    <w:rsid w:val="00A27715"/>
    <w:rsid w:val="00A27A7F"/>
    <w:rsid w:val="00A27CA8"/>
    <w:rsid w:val="00A3037E"/>
    <w:rsid w:val="00A30932"/>
    <w:rsid w:val="00A3095C"/>
    <w:rsid w:val="00A318DD"/>
    <w:rsid w:val="00A31A36"/>
    <w:rsid w:val="00A327E8"/>
    <w:rsid w:val="00A327FE"/>
    <w:rsid w:val="00A33524"/>
    <w:rsid w:val="00A33DAB"/>
    <w:rsid w:val="00A33EE5"/>
    <w:rsid w:val="00A35217"/>
    <w:rsid w:val="00A35363"/>
    <w:rsid w:val="00A363BF"/>
    <w:rsid w:val="00A36CED"/>
    <w:rsid w:val="00A379C6"/>
    <w:rsid w:val="00A413B0"/>
    <w:rsid w:val="00A417C9"/>
    <w:rsid w:val="00A41A31"/>
    <w:rsid w:val="00A41BD2"/>
    <w:rsid w:val="00A42A3D"/>
    <w:rsid w:val="00A43A87"/>
    <w:rsid w:val="00A44009"/>
    <w:rsid w:val="00A4415B"/>
    <w:rsid w:val="00A4585A"/>
    <w:rsid w:val="00A45AAE"/>
    <w:rsid w:val="00A460AA"/>
    <w:rsid w:val="00A4624F"/>
    <w:rsid w:val="00A46790"/>
    <w:rsid w:val="00A46871"/>
    <w:rsid w:val="00A46EFD"/>
    <w:rsid w:val="00A474D5"/>
    <w:rsid w:val="00A47905"/>
    <w:rsid w:val="00A5000B"/>
    <w:rsid w:val="00A50908"/>
    <w:rsid w:val="00A515A8"/>
    <w:rsid w:val="00A52161"/>
    <w:rsid w:val="00A5315D"/>
    <w:rsid w:val="00A537AA"/>
    <w:rsid w:val="00A539A2"/>
    <w:rsid w:val="00A53A51"/>
    <w:rsid w:val="00A53C71"/>
    <w:rsid w:val="00A54066"/>
    <w:rsid w:val="00A5432C"/>
    <w:rsid w:val="00A543C4"/>
    <w:rsid w:val="00A5463B"/>
    <w:rsid w:val="00A55370"/>
    <w:rsid w:val="00A55F3F"/>
    <w:rsid w:val="00A56392"/>
    <w:rsid w:val="00A56419"/>
    <w:rsid w:val="00A567FF"/>
    <w:rsid w:val="00A56854"/>
    <w:rsid w:val="00A56E05"/>
    <w:rsid w:val="00A57870"/>
    <w:rsid w:val="00A57ED2"/>
    <w:rsid w:val="00A57F78"/>
    <w:rsid w:val="00A600D1"/>
    <w:rsid w:val="00A6030F"/>
    <w:rsid w:val="00A606E2"/>
    <w:rsid w:val="00A61DA7"/>
    <w:rsid w:val="00A62511"/>
    <w:rsid w:val="00A6264D"/>
    <w:rsid w:val="00A62E73"/>
    <w:rsid w:val="00A62E7D"/>
    <w:rsid w:val="00A63661"/>
    <w:rsid w:val="00A64764"/>
    <w:rsid w:val="00A64AC0"/>
    <w:rsid w:val="00A6572C"/>
    <w:rsid w:val="00A66051"/>
    <w:rsid w:val="00A669D2"/>
    <w:rsid w:val="00A67AEB"/>
    <w:rsid w:val="00A67D30"/>
    <w:rsid w:val="00A67F22"/>
    <w:rsid w:val="00A70D8F"/>
    <w:rsid w:val="00A70F8C"/>
    <w:rsid w:val="00A7141C"/>
    <w:rsid w:val="00A729EE"/>
    <w:rsid w:val="00A72E2D"/>
    <w:rsid w:val="00A73B5B"/>
    <w:rsid w:val="00A741CE"/>
    <w:rsid w:val="00A74B1C"/>
    <w:rsid w:val="00A74E7D"/>
    <w:rsid w:val="00A75308"/>
    <w:rsid w:val="00A7658E"/>
    <w:rsid w:val="00A76804"/>
    <w:rsid w:val="00A76FFD"/>
    <w:rsid w:val="00A770DB"/>
    <w:rsid w:val="00A77467"/>
    <w:rsid w:val="00A77550"/>
    <w:rsid w:val="00A777BE"/>
    <w:rsid w:val="00A80591"/>
    <w:rsid w:val="00A81ABA"/>
    <w:rsid w:val="00A82331"/>
    <w:rsid w:val="00A82408"/>
    <w:rsid w:val="00A83206"/>
    <w:rsid w:val="00A84903"/>
    <w:rsid w:val="00A84CF8"/>
    <w:rsid w:val="00A850D9"/>
    <w:rsid w:val="00A8596D"/>
    <w:rsid w:val="00A86757"/>
    <w:rsid w:val="00A868D7"/>
    <w:rsid w:val="00A86EA7"/>
    <w:rsid w:val="00A87D01"/>
    <w:rsid w:val="00A94CF5"/>
    <w:rsid w:val="00A95112"/>
    <w:rsid w:val="00A9565C"/>
    <w:rsid w:val="00A961E9"/>
    <w:rsid w:val="00A96397"/>
    <w:rsid w:val="00A9694B"/>
    <w:rsid w:val="00A97793"/>
    <w:rsid w:val="00AA018F"/>
    <w:rsid w:val="00AA1736"/>
    <w:rsid w:val="00AA24D9"/>
    <w:rsid w:val="00AA25A2"/>
    <w:rsid w:val="00AA2B3F"/>
    <w:rsid w:val="00AA2E48"/>
    <w:rsid w:val="00AA30B9"/>
    <w:rsid w:val="00AA3E7A"/>
    <w:rsid w:val="00AA496C"/>
    <w:rsid w:val="00AA49F4"/>
    <w:rsid w:val="00AA5D92"/>
    <w:rsid w:val="00AA650F"/>
    <w:rsid w:val="00AA6781"/>
    <w:rsid w:val="00AA6CF5"/>
    <w:rsid w:val="00AA6FD3"/>
    <w:rsid w:val="00AA7E5C"/>
    <w:rsid w:val="00AB0495"/>
    <w:rsid w:val="00AB08F3"/>
    <w:rsid w:val="00AB0D45"/>
    <w:rsid w:val="00AB1271"/>
    <w:rsid w:val="00AB1921"/>
    <w:rsid w:val="00AB24D3"/>
    <w:rsid w:val="00AB26E3"/>
    <w:rsid w:val="00AB2802"/>
    <w:rsid w:val="00AB2A63"/>
    <w:rsid w:val="00AB2C42"/>
    <w:rsid w:val="00AB2DAF"/>
    <w:rsid w:val="00AB3062"/>
    <w:rsid w:val="00AB42F7"/>
    <w:rsid w:val="00AB4B6A"/>
    <w:rsid w:val="00AB5A35"/>
    <w:rsid w:val="00AB61B5"/>
    <w:rsid w:val="00AB7264"/>
    <w:rsid w:val="00AC0BBA"/>
    <w:rsid w:val="00AC0E2B"/>
    <w:rsid w:val="00AC21F7"/>
    <w:rsid w:val="00AC3187"/>
    <w:rsid w:val="00AC3817"/>
    <w:rsid w:val="00AC44A1"/>
    <w:rsid w:val="00AC483F"/>
    <w:rsid w:val="00AC65B1"/>
    <w:rsid w:val="00AC666C"/>
    <w:rsid w:val="00AC674C"/>
    <w:rsid w:val="00AC76E6"/>
    <w:rsid w:val="00AC7BC4"/>
    <w:rsid w:val="00AD0F49"/>
    <w:rsid w:val="00AD1917"/>
    <w:rsid w:val="00AD1E03"/>
    <w:rsid w:val="00AD1E4F"/>
    <w:rsid w:val="00AD2820"/>
    <w:rsid w:val="00AD3DC9"/>
    <w:rsid w:val="00AD3FC0"/>
    <w:rsid w:val="00AD4CFE"/>
    <w:rsid w:val="00AD5E16"/>
    <w:rsid w:val="00AD6FA8"/>
    <w:rsid w:val="00AD7489"/>
    <w:rsid w:val="00AD78D5"/>
    <w:rsid w:val="00AD7952"/>
    <w:rsid w:val="00AD7B1A"/>
    <w:rsid w:val="00AD7CF5"/>
    <w:rsid w:val="00AD7FF8"/>
    <w:rsid w:val="00AE0BB8"/>
    <w:rsid w:val="00AE0F7B"/>
    <w:rsid w:val="00AE1BE7"/>
    <w:rsid w:val="00AE2087"/>
    <w:rsid w:val="00AE257A"/>
    <w:rsid w:val="00AE2BA8"/>
    <w:rsid w:val="00AE2DC0"/>
    <w:rsid w:val="00AE4395"/>
    <w:rsid w:val="00AE510A"/>
    <w:rsid w:val="00AE5779"/>
    <w:rsid w:val="00AE5956"/>
    <w:rsid w:val="00AE5D33"/>
    <w:rsid w:val="00AE5E1F"/>
    <w:rsid w:val="00AE66A9"/>
    <w:rsid w:val="00AE6CA3"/>
    <w:rsid w:val="00AE7036"/>
    <w:rsid w:val="00AE74F1"/>
    <w:rsid w:val="00AE784F"/>
    <w:rsid w:val="00AE78F1"/>
    <w:rsid w:val="00AE7F6E"/>
    <w:rsid w:val="00AF0FAA"/>
    <w:rsid w:val="00AF11F3"/>
    <w:rsid w:val="00AF1276"/>
    <w:rsid w:val="00AF244D"/>
    <w:rsid w:val="00AF2A8F"/>
    <w:rsid w:val="00AF348B"/>
    <w:rsid w:val="00AF35B9"/>
    <w:rsid w:val="00AF3AC2"/>
    <w:rsid w:val="00AF3FDF"/>
    <w:rsid w:val="00AF4A01"/>
    <w:rsid w:val="00AF4E6E"/>
    <w:rsid w:val="00AF5161"/>
    <w:rsid w:val="00AF5BB2"/>
    <w:rsid w:val="00AF603F"/>
    <w:rsid w:val="00AF61E5"/>
    <w:rsid w:val="00AF671A"/>
    <w:rsid w:val="00AF68DA"/>
    <w:rsid w:val="00AF7425"/>
    <w:rsid w:val="00AF7E91"/>
    <w:rsid w:val="00B006BC"/>
    <w:rsid w:val="00B00E0E"/>
    <w:rsid w:val="00B01499"/>
    <w:rsid w:val="00B01884"/>
    <w:rsid w:val="00B02C9D"/>
    <w:rsid w:val="00B02F4A"/>
    <w:rsid w:val="00B03E2B"/>
    <w:rsid w:val="00B03F69"/>
    <w:rsid w:val="00B05F28"/>
    <w:rsid w:val="00B0664A"/>
    <w:rsid w:val="00B0693F"/>
    <w:rsid w:val="00B0727F"/>
    <w:rsid w:val="00B0792A"/>
    <w:rsid w:val="00B07B47"/>
    <w:rsid w:val="00B107A0"/>
    <w:rsid w:val="00B108A6"/>
    <w:rsid w:val="00B10C01"/>
    <w:rsid w:val="00B115A4"/>
    <w:rsid w:val="00B11692"/>
    <w:rsid w:val="00B11732"/>
    <w:rsid w:val="00B11954"/>
    <w:rsid w:val="00B120EF"/>
    <w:rsid w:val="00B12A44"/>
    <w:rsid w:val="00B12F12"/>
    <w:rsid w:val="00B13128"/>
    <w:rsid w:val="00B13356"/>
    <w:rsid w:val="00B13A07"/>
    <w:rsid w:val="00B1415F"/>
    <w:rsid w:val="00B14192"/>
    <w:rsid w:val="00B1436F"/>
    <w:rsid w:val="00B144A5"/>
    <w:rsid w:val="00B14532"/>
    <w:rsid w:val="00B147E0"/>
    <w:rsid w:val="00B14CF7"/>
    <w:rsid w:val="00B14FDC"/>
    <w:rsid w:val="00B1587C"/>
    <w:rsid w:val="00B15CAB"/>
    <w:rsid w:val="00B15DFC"/>
    <w:rsid w:val="00B17D84"/>
    <w:rsid w:val="00B17F8F"/>
    <w:rsid w:val="00B20192"/>
    <w:rsid w:val="00B20CD7"/>
    <w:rsid w:val="00B219C7"/>
    <w:rsid w:val="00B21C4B"/>
    <w:rsid w:val="00B22194"/>
    <w:rsid w:val="00B22A58"/>
    <w:rsid w:val="00B23355"/>
    <w:rsid w:val="00B23962"/>
    <w:rsid w:val="00B23C77"/>
    <w:rsid w:val="00B23E99"/>
    <w:rsid w:val="00B24BE7"/>
    <w:rsid w:val="00B25440"/>
    <w:rsid w:val="00B2571F"/>
    <w:rsid w:val="00B25CBD"/>
    <w:rsid w:val="00B25EE0"/>
    <w:rsid w:val="00B26EBE"/>
    <w:rsid w:val="00B27070"/>
    <w:rsid w:val="00B27342"/>
    <w:rsid w:val="00B30392"/>
    <w:rsid w:val="00B31A51"/>
    <w:rsid w:val="00B322BA"/>
    <w:rsid w:val="00B326B5"/>
    <w:rsid w:val="00B3327A"/>
    <w:rsid w:val="00B33435"/>
    <w:rsid w:val="00B334F5"/>
    <w:rsid w:val="00B33559"/>
    <w:rsid w:val="00B33604"/>
    <w:rsid w:val="00B34956"/>
    <w:rsid w:val="00B3501B"/>
    <w:rsid w:val="00B350E0"/>
    <w:rsid w:val="00B35F88"/>
    <w:rsid w:val="00B36928"/>
    <w:rsid w:val="00B4015D"/>
    <w:rsid w:val="00B40FDF"/>
    <w:rsid w:val="00B415FB"/>
    <w:rsid w:val="00B42343"/>
    <w:rsid w:val="00B42C02"/>
    <w:rsid w:val="00B43C7E"/>
    <w:rsid w:val="00B43D56"/>
    <w:rsid w:val="00B455BA"/>
    <w:rsid w:val="00B461A8"/>
    <w:rsid w:val="00B46EC5"/>
    <w:rsid w:val="00B47C2C"/>
    <w:rsid w:val="00B502B3"/>
    <w:rsid w:val="00B50619"/>
    <w:rsid w:val="00B50620"/>
    <w:rsid w:val="00B511BD"/>
    <w:rsid w:val="00B517BA"/>
    <w:rsid w:val="00B51996"/>
    <w:rsid w:val="00B51B41"/>
    <w:rsid w:val="00B51D45"/>
    <w:rsid w:val="00B5214E"/>
    <w:rsid w:val="00B524F3"/>
    <w:rsid w:val="00B52779"/>
    <w:rsid w:val="00B544F0"/>
    <w:rsid w:val="00B545A4"/>
    <w:rsid w:val="00B54740"/>
    <w:rsid w:val="00B54743"/>
    <w:rsid w:val="00B54839"/>
    <w:rsid w:val="00B55755"/>
    <w:rsid w:val="00B561D1"/>
    <w:rsid w:val="00B56280"/>
    <w:rsid w:val="00B563EA"/>
    <w:rsid w:val="00B56A10"/>
    <w:rsid w:val="00B56DA8"/>
    <w:rsid w:val="00B57132"/>
    <w:rsid w:val="00B609A3"/>
    <w:rsid w:val="00B60EB6"/>
    <w:rsid w:val="00B615DD"/>
    <w:rsid w:val="00B62240"/>
    <w:rsid w:val="00B635BD"/>
    <w:rsid w:val="00B63B2B"/>
    <w:rsid w:val="00B63C8D"/>
    <w:rsid w:val="00B64494"/>
    <w:rsid w:val="00B644C4"/>
    <w:rsid w:val="00B64F13"/>
    <w:rsid w:val="00B65AC7"/>
    <w:rsid w:val="00B65B7B"/>
    <w:rsid w:val="00B664C2"/>
    <w:rsid w:val="00B67038"/>
    <w:rsid w:val="00B671BD"/>
    <w:rsid w:val="00B7088F"/>
    <w:rsid w:val="00B70CAB"/>
    <w:rsid w:val="00B70F16"/>
    <w:rsid w:val="00B71B3B"/>
    <w:rsid w:val="00B7310F"/>
    <w:rsid w:val="00B73778"/>
    <w:rsid w:val="00B7394D"/>
    <w:rsid w:val="00B74B8B"/>
    <w:rsid w:val="00B752A2"/>
    <w:rsid w:val="00B754BD"/>
    <w:rsid w:val="00B75A3F"/>
    <w:rsid w:val="00B75CED"/>
    <w:rsid w:val="00B75FC4"/>
    <w:rsid w:val="00B763DF"/>
    <w:rsid w:val="00B76757"/>
    <w:rsid w:val="00B76969"/>
    <w:rsid w:val="00B76A56"/>
    <w:rsid w:val="00B76DBF"/>
    <w:rsid w:val="00B77156"/>
    <w:rsid w:val="00B77D2F"/>
    <w:rsid w:val="00B80DFE"/>
    <w:rsid w:val="00B81661"/>
    <w:rsid w:val="00B8194E"/>
    <w:rsid w:val="00B81FBC"/>
    <w:rsid w:val="00B820E9"/>
    <w:rsid w:val="00B82319"/>
    <w:rsid w:val="00B83429"/>
    <w:rsid w:val="00B83A3E"/>
    <w:rsid w:val="00B846B4"/>
    <w:rsid w:val="00B85329"/>
    <w:rsid w:val="00B856C0"/>
    <w:rsid w:val="00B85F3E"/>
    <w:rsid w:val="00B86807"/>
    <w:rsid w:val="00B86E0B"/>
    <w:rsid w:val="00B90333"/>
    <w:rsid w:val="00B909CF"/>
    <w:rsid w:val="00B90E74"/>
    <w:rsid w:val="00B91076"/>
    <w:rsid w:val="00B911D7"/>
    <w:rsid w:val="00B91590"/>
    <w:rsid w:val="00B92998"/>
    <w:rsid w:val="00B938A4"/>
    <w:rsid w:val="00B940CA"/>
    <w:rsid w:val="00B96669"/>
    <w:rsid w:val="00BA184E"/>
    <w:rsid w:val="00BA1FF9"/>
    <w:rsid w:val="00BA220C"/>
    <w:rsid w:val="00BA246F"/>
    <w:rsid w:val="00BA2C4D"/>
    <w:rsid w:val="00BA3C67"/>
    <w:rsid w:val="00BA49EC"/>
    <w:rsid w:val="00BA6278"/>
    <w:rsid w:val="00BA63B9"/>
    <w:rsid w:val="00BA6CE8"/>
    <w:rsid w:val="00BA7509"/>
    <w:rsid w:val="00BB02AC"/>
    <w:rsid w:val="00BB0673"/>
    <w:rsid w:val="00BB1AC5"/>
    <w:rsid w:val="00BB2277"/>
    <w:rsid w:val="00BB3916"/>
    <w:rsid w:val="00BB39B1"/>
    <w:rsid w:val="00BB3BC5"/>
    <w:rsid w:val="00BB696B"/>
    <w:rsid w:val="00BB7278"/>
    <w:rsid w:val="00BB7A4D"/>
    <w:rsid w:val="00BC010B"/>
    <w:rsid w:val="00BC029F"/>
    <w:rsid w:val="00BC0515"/>
    <w:rsid w:val="00BC154B"/>
    <w:rsid w:val="00BC1F27"/>
    <w:rsid w:val="00BC2C2A"/>
    <w:rsid w:val="00BC2F0C"/>
    <w:rsid w:val="00BC33AE"/>
    <w:rsid w:val="00BC4017"/>
    <w:rsid w:val="00BC439E"/>
    <w:rsid w:val="00BC6CC5"/>
    <w:rsid w:val="00BC6E60"/>
    <w:rsid w:val="00BC7C48"/>
    <w:rsid w:val="00BD0EFD"/>
    <w:rsid w:val="00BD1663"/>
    <w:rsid w:val="00BD2719"/>
    <w:rsid w:val="00BD2A19"/>
    <w:rsid w:val="00BD2B62"/>
    <w:rsid w:val="00BD3EAC"/>
    <w:rsid w:val="00BD411F"/>
    <w:rsid w:val="00BD4263"/>
    <w:rsid w:val="00BD460A"/>
    <w:rsid w:val="00BD4892"/>
    <w:rsid w:val="00BD526C"/>
    <w:rsid w:val="00BD562E"/>
    <w:rsid w:val="00BD6575"/>
    <w:rsid w:val="00BD6DF6"/>
    <w:rsid w:val="00BD73D7"/>
    <w:rsid w:val="00BD7CCD"/>
    <w:rsid w:val="00BE0602"/>
    <w:rsid w:val="00BE0B84"/>
    <w:rsid w:val="00BE0EA3"/>
    <w:rsid w:val="00BE1106"/>
    <w:rsid w:val="00BE135D"/>
    <w:rsid w:val="00BE2581"/>
    <w:rsid w:val="00BE2D89"/>
    <w:rsid w:val="00BE30A7"/>
    <w:rsid w:val="00BE3159"/>
    <w:rsid w:val="00BE38A5"/>
    <w:rsid w:val="00BE41C1"/>
    <w:rsid w:val="00BE54E3"/>
    <w:rsid w:val="00BE6147"/>
    <w:rsid w:val="00BE67F4"/>
    <w:rsid w:val="00BE6BAC"/>
    <w:rsid w:val="00BE6C68"/>
    <w:rsid w:val="00BF0096"/>
    <w:rsid w:val="00BF04B2"/>
    <w:rsid w:val="00BF079F"/>
    <w:rsid w:val="00BF0F46"/>
    <w:rsid w:val="00BF13D9"/>
    <w:rsid w:val="00BF1405"/>
    <w:rsid w:val="00BF14FD"/>
    <w:rsid w:val="00BF1A50"/>
    <w:rsid w:val="00BF2B52"/>
    <w:rsid w:val="00BF2B81"/>
    <w:rsid w:val="00BF3393"/>
    <w:rsid w:val="00BF33DC"/>
    <w:rsid w:val="00BF349C"/>
    <w:rsid w:val="00BF36F1"/>
    <w:rsid w:val="00BF3CC7"/>
    <w:rsid w:val="00BF3E81"/>
    <w:rsid w:val="00BF4127"/>
    <w:rsid w:val="00BF431B"/>
    <w:rsid w:val="00BF43D8"/>
    <w:rsid w:val="00BF583D"/>
    <w:rsid w:val="00BF680F"/>
    <w:rsid w:val="00BF6B95"/>
    <w:rsid w:val="00BF798D"/>
    <w:rsid w:val="00BF7B30"/>
    <w:rsid w:val="00BF7DD7"/>
    <w:rsid w:val="00C00DF8"/>
    <w:rsid w:val="00C01B37"/>
    <w:rsid w:val="00C01BA4"/>
    <w:rsid w:val="00C02392"/>
    <w:rsid w:val="00C02603"/>
    <w:rsid w:val="00C02ABA"/>
    <w:rsid w:val="00C031DE"/>
    <w:rsid w:val="00C03497"/>
    <w:rsid w:val="00C034A2"/>
    <w:rsid w:val="00C036B9"/>
    <w:rsid w:val="00C04421"/>
    <w:rsid w:val="00C046DD"/>
    <w:rsid w:val="00C06830"/>
    <w:rsid w:val="00C079D8"/>
    <w:rsid w:val="00C07C14"/>
    <w:rsid w:val="00C1081B"/>
    <w:rsid w:val="00C11555"/>
    <w:rsid w:val="00C11579"/>
    <w:rsid w:val="00C11AAD"/>
    <w:rsid w:val="00C11C84"/>
    <w:rsid w:val="00C11FF2"/>
    <w:rsid w:val="00C12968"/>
    <w:rsid w:val="00C133F5"/>
    <w:rsid w:val="00C137ED"/>
    <w:rsid w:val="00C138B2"/>
    <w:rsid w:val="00C15183"/>
    <w:rsid w:val="00C15519"/>
    <w:rsid w:val="00C15F9F"/>
    <w:rsid w:val="00C160C6"/>
    <w:rsid w:val="00C162CA"/>
    <w:rsid w:val="00C17A08"/>
    <w:rsid w:val="00C208AF"/>
    <w:rsid w:val="00C20D29"/>
    <w:rsid w:val="00C21DA0"/>
    <w:rsid w:val="00C22560"/>
    <w:rsid w:val="00C2288A"/>
    <w:rsid w:val="00C23B42"/>
    <w:rsid w:val="00C23CE3"/>
    <w:rsid w:val="00C24A03"/>
    <w:rsid w:val="00C24EE9"/>
    <w:rsid w:val="00C25241"/>
    <w:rsid w:val="00C25348"/>
    <w:rsid w:val="00C2609D"/>
    <w:rsid w:val="00C26534"/>
    <w:rsid w:val="00C270D7"/>
    <w:rsid w:val="00C275C8"/>
    <w:rsid w:val="00C3033A"/>
    <w:rsid w:val="00C3054F"/>
    <w:rsid w:val="00C31088"/>
    <w:rsid w:val="00C3131C"/>
    <w:rsid w:val="00C31BF4"/>
    <w:rsid w:val="00C31C5E"/>
    <w:rsid w:val="00C31EC1"/>
    <w:rsid w:val="00C32111"/>
    <w:rsid w:val="00C323C8"/>
    <w:rsid w:val="00C327DD"/>
    <w:rsid w:val="00C33813"/>
    <w:rsid w:val="00C33B8A"/>
    <w:rsid w:val="00C33C7E"/>
    <w:rsid w:val="00C342C3"/>
    <w:rsid w:val="00C35165"/>
    <w:rsid w:val="00C35827"/>
    <w:rsid w:val="00C35D5A"/>
    <w:rsid w:val="00C35DF8"/>
    <w:rsid w:val="00C36405"/>
    <w:rsid w:val="00C36E02"/>
    <w:rsid w:val="00C37290"/>
    <w:rsid w:val="00C378D8"/>
    <w:rsid w:val="00C37B2D"/>
    <w:rsid w:val="00C40159"/>
    <w:rsid w:val="00C415A2"/>
    <w:rsid w:val="00C419A8"/>
    <w:rsid w:val="00C41FDB"/>
    <w:rsid w:val="00C42D87"/>
    <w:rsid w:val="00C433A8"/>
    <w:rsid w:val="00C43A4B"/>
    <w:rsid w:val="00C43CB7"/>
    <w:rsid w:val="00C447A2"/>
    <w:rsid w:val="00C448AE"/>
    <w:rsid w:val="00C44C87"/>
    <w:rsid w:val="00C44E73"/>
    <w:rsid w:val="00C4527B"/>
    <w:rsid w:val="00C459B1"/>
    <w:rsid w:val="00C46E28"/>
    <w:rsid w:val="00C46E6A"/>
    <w:rsid w:val="00C46FA3"/>
    <w:rsid w:val="00C47099"/>
    <w:rsid w:val="00C471B7"/>
    <w:rsid w:val="00C47C83"/>
    <w:rsid w:val="00C50643"/>
    <w:rsid w:val="00C50B10"/>
    <w:rsid w:val="00C50FEE"/>
    <w:rsid w:val="00C51652"/>
    <w:rsid w:val="00C51907"/>
    <w:rsid w:val="00C51B39"/>
    <w:rsid w:val="00C51E1E"/>
    <w:rsid w:val="00C51F8A"/>
    <w:rsid w:val="00C526C9"/>
    <w:rsid w:val="00C52753"/>
    <w:rsid w:val="00C52F2A"/>
    <w:rsid w:val="00C53C60"/>
    <w:rsid w:val="00C53D97"/>
    <w:rsid w:val="00C5490C"/>
    <w:rsid w:val="00C5504F"/>
    <w:rsid w:val="00C550EB"/>
    <w:rsid w:val="00C56D1D"/>
    <w:rsid w:val="00C56EC2"/>
    <w:rsid w:val="00C5765C"/>
    <w:rsid w:val="00C6002F"/>
    <w:rsid w:val="00C603AC"/>
    <w:rsid w:val="00C609AE"/>
    <w:rsid w:val="00C60ED1"/>
    <w:rsid w:val="00C611DC"/>
    <w:rsid w:val="00C61869"/>
    <w:rsid w:val="00C6199A"/>
    <w:rsid w:val="00C62697"/>
    <w:rsid w:val="00C62A08"/>
    <w:rsid w:val="00C62B57"/>
    <w:rsid w:val="00C631F2"/>
    <w:rsid w:val="00C63287"/>
    <w:rsid w:val="00C636B5"/>
    <w:rsid w:val="00C64064"/>
    <w:rsid w:val="00C64F1F"/>
    <w:rsid w:val="00C65178"/>
    <w:rsid w:val="00C66E95"/>
    <w:rsid w:val="00C673DD"/>
    <w:rsid w:val="00C679AD"/>
    <w:rsid w:val="00C705E1"/>
    <w:rsid w:val="00C71881"/>
    <w:rsid w:val="00C73896"/>
    <w:rsid w:val="00C73A90"/>
    <w:rsid w:val="00C742CC"/>
    <w:rsid w:val="00C768FF"/>
    <w:rsid w:val="00C769E0"/>
    <w:rsid w:val="00C77215"/>
    <w:rsid w:val="00C806C5"/>
    <w:rsid w:val="00C8093B"/>
    <w:rsid w:val="00C815BB"/>
    <w:rsid w:val="00C8189E"/>
    <w:rsid w:val="00C819B7"/>
    <w:rsid w:val="00C83728"/>
    <w:rsid w:val="00C83D87"/>
    <w:rsid w:val="00C84898"/>
    <w:rsid w:val="00C84E7F"/>
    <w:rsid w:val="00C85ED1"/>
    <w:rsid w:val="00C86196"/>
    <w:rsid w:val="00C86B0F"/>
    <w:rsid w:val="00C87344"/>
    <w:rsid w:val="00C90293"/>
    <w:rsid w:val="00C90C5B"/>
    <w:rsid w:val="00C9147E"/>
    <w:rsid w:val="00C934D6"/>
    <w:rsid w:val="00C93BC6"/>
    <w:rsid w:val="00C940F9"/>
    <w:rsid w:val="00C94B27"/>
    <w:rsid w:val="00C94DBE"/>
    <w:rsid w:val="00C94FF9"/>
    <w:rsid w:val="00C95716"/>
    <w:rsid w:val="00C96A75"/>
    <w:rsid w:val="00C96ED8"/>
    <w:rsid w:val="00C97356"/>
    <w:rsid w:val="00C977D8"/>
    <w:rsid w:val="00C97DDB"/>
    <w:rsid w:val="00CA00D1"/>
    <w:rsid w:val="00CA0BE9"/>
    <w:rsid w:val="00CA1128"/>
    <w:rsid w:val="00CA14F3"/>
    <w:rsid w:val="00CA20E2"/>
    <w:rsid w:val="00CA2466"/>
    <w:rsid w:val="00CA2798"/>
    <w:rsid w:val="00CA2900"/>
    <w:rsid w:val="00CA2908"/>
    <w:rsid w:val="00CA2B9D"/>
    <w:rsid w:val="00CA3D74"/>
    <w:rsid w:val="00CA4CFE"/>
    <w:rsid w:val="00CA4DE5"/>
    <w:rsid w:val="00CA5752"/>
    <w:rsid w:val="00CA6004"/>
    <w:rsid w:val="00CA7580"/>
    <w:rsid w:val="00CA7DDE"/>
    <w:rsid w:val="00CB02C1"/>
    <w:rsid w:val="00CB0527"/>
    <w:rsid w:val="00CB05E2"/>
    <w:rsid w:val="00CB14B8"/>
    <w:rsid w:val="00CB1E04"/>
    <w:rsid w:val="00CB2A00"/>
    <w:rsid w:val="00CB2AD3"/>
    <w:rsid w:val="00CB3597"/>
    <w:rsid w:val="00CB440A"/>
    <w:rsid w:val="00CB4FEB"/>
    <w:rsid w:val="00CB5350"/>
    <w:rsid w:val="00CB55FB"/>
    <w:rsid w:val="00CB71CE"/>
    <w:rsid w:val="00CB7289"/>
    <w:rsid w:val="00CB73D7"/>
    <w:rsid w:val="00CC0198"/>
    <w:rsid w:val="00CC0BB2"/>
    <w:rsid w:val="00CC1390"/>
    <w:rsid w:val="00CC193D"/>
    <w:rsid w:val="00CC1E1F"/>
    <w:rsid w:val="00CC26B4"/>
    <w:rsid w:val="00CC2B23"/>
    <w:rsid w:val="00CC2BF0"/>
    <w:rsid w:val="00CC2CCF"/>
    <w:rsid w:val="00CC30D0"/>
    <w:rsid w:val="00CC30E6"/>
    <w:rsid w:val="00CC3186"/>
    <w:rsid w:val="00CC34E2"/>
    <w:rsid w:val="00CC4571"/>
    <w:rsid w:val="00CC47A6"/>
    <w:rsid w:val="00CC4AA4"/>
    <w:rsid w:val="00CC4BAF"/>
    <w:rsid w:val="00CC4C47"/>
    <w:rsid w:val="00CC5847"/>
    <w:rsid w:val="00CC5D66"/>
    <w:rsid w:val="00CC6B7D"/>
    <w:rsid w:val="00CC6DB8"/>
    <w:rsid w:val="00CC6EF3"/>
    <w:rsid w:val="00CC6F60"/>
    <w:rsid w:val="00CC7053"/>
    <w:rsid w:val="00CC7103"/>
    <w:rsid w:val="00CC7C6B"/>
    <w:rsid w:val="00CD0596"/>
    <w:rsid w:val="00CD08D9"/>
    <w:rsid w:val="00CD2143"/>
    <w:rsid w:val="00CD2872"/>
    <w:rsid w:val="00CD2D71"/>
    <w:rsid w:val="00CD2ED4"/>
    <w:rsid w:val="00CD3296"/>
    <w:rsid w:val="00CD3EC8"/>
    <w:rsid w:val="00CD3FE8"/>
    <w:rsid w:val="00CD430D"/>
    <w:rsid w:val="00CD4A62"/>
    <w:rsid w:val="00CD4CA8"/>
    <w:rsid w:val="00CD554B"/>
    <w:rsid w:val="00CD5AE3"/>
    <w:rsid w:val="00CD5F51"/>
    <w:rsid w:val="00CD6D71"/>
    <w:rsid w:val="00CD6F39"/>
    <w:rsid w:val="00CD7020"/>
    <w:rsid w:val="00CE098A"/>
    <w:rsid w:val="00CE0CB1"/>
    <w:rsid w:val="00CE0D06"/>
    <w:rsid w:val="00CE1EEB"/>
    <w:rsid w:val="00CE1F65"/>
    <w:rsid w:val="00CE21C6"/>
    <w:rsid w:val="00CE3035"/>
    <w:rsid w:val="00CE37FE"/>
    <w:rsid w:val="00CE38FC"/>
    <w:rsid w:val="00CE3C46"/>
    <w:rsid w:val="00CE4290"/>
    <w:rsid w:val="00CE4459"/>
    <w:rsid w:val="00CE4523"/>
    <w:rsid w:val="00CE4DE4"/>
    <w:rsid w:val="00CE5953"/>
    <w:rsid w:val="00CE5F18"/>
    <w:rsid w:val="00CE64DF"/>
    <w:rsid w:val="00CE6613"/>
    <w:rsid w:val="00CE661E"/>
    <w:rsid w:val="00CE7802"/>
    <w:rsid w:val="00CF0ECF"/>
    <w:rsid w:val="00CF1FB1"/>
    <w:rsid w:val="00CF1FB8"/>
    <w:rsid w:val="00CF201B"/>
    <w:rsid w:val="00CF25BB"/>
    <w:rsid w:val="00CF2C8C"/>
    <w:rsid w:val="00CF3796"/>
    <w:rsid w:val="00CF48C8"/>
    <w:rsid w:val="00CF615C"/>
    <w:rsid w:val="00CF7270"/>
    <w:rsid w:val="00CF759D"/>
    <w:rsid w:val="00D00818"/>
    <w:rsid w:val="00D00D23"/>
    <w:rsid w:val="00D00DC4"/>
    <w:rsid w:val="00D01274"/>
    <w:rsid w:val="00D01FFA"/>
    <w:rsid w:val="00D03183"/>
    <w:rsid w:val="00D04384"/>
    <w:rsid w:val="00D0459E"/>
    <w:rsid w:val="00D05082"/>
    <w:rsid w:val="00D05A74"/>
    <w:rsid w:val="00D064B5"/>
    <w:rsid w:val="00D06540"/>
    <w:rsid w:val="00D06806"/>
    <w:rsid w:val="00D06AEF"/>
    <w:rsid w:val="00D07589"/>
    <w:rsid w:val="00D10350"/>
    <w:rsid w:val="00D10643"/>
    <w:rsid w:val="00D107AA"/>
    <w:rsid w:val="00D128A8"/>
    <w:rsid w:val="00D1372B"/>
    <w:rsid w:val="00D137B8"/>
    <w:rsid w:val="00D13A54"/>
    <w:rsid w:val="00D146DD"/>
    <w:rsid w:val="00D151E6"/>
    <w:rsid w:val="00D1536C"/>
    <w:rsid w:val="00D15925"/>
    <w:rsid w:val="00D15E84"/>
    <w:rsid w:val="00D1696E"/>
    <w:rsid w:val="00D17250"/>
    <w:rsid w:val="00D175D0"/>
    <w:rsid w:val="00D17D5C"/>
    <w:rsid w:val="00D2053E"/>
    <w:rsid w:val="00D20CDD"/>
    <w:rsid w:val="00D21DBA"/>
    <w:rsid w:val="00D22528"/>
    <w:rsid w:val="00D22695"/>
    <w:rsid w:val="00D23B2A"/>
    <w:rsid w:val="00D248FC"/>
    <w:rsid w:val="00D2566F"/>
    <w:rsid w:val="00D27134"/>
    <w:rsid w:val="00D2747D"/>
    <w:rsid w:val="00D27918"/>
    <w:rsid w:val="00D30022"/>
    <w:rsid w:val="00D31DF2"/>
    <w:rsid w:val="00D31F9A"/>
    <w:rsid w:val="00D32202"/>
    <w:rsid w:val="00D3224F"/>
    <w:rsid w:val="00D323F2"/>
    <w:rsid w:val="00D32C6D"/>
    <w:rsid w:val="00D3304E"/>
    <w:rsid w:val="00D33270"/>
    <w:rsid w:val="00D3502D"/>
    <w:rsid w:val="00D357CE"/>
    <w:rsid w:val="00D35863"/>
    <w:rsid w:val="00D3591A"/>
    <w:rsid w:val="00D36807"/>
    <w:rsid w:val="00D413E4"/>
    <w:rsid w:val="00D416E9"/>
    <w:rsid w:val="00D41BB6"/>
    <w:rsid w:val="00D41C5A"/>
    <w:rsid w:val="00D41C84"/>
    <w:rsid w:val="00D4219E"/>
    <w:rsid w:val="00D421B6"/>
    <w:rsid w:val="00D4291A"/>
    <w:rsid w:val="00D42941"/>
    <w:rsid w:val="00D42BFD"/>
    <w:rsid w:val="00D4322B"/>
    <w:rsid w:val="00D437E8"/>
    <w:rsid w:val="00D4553B"/>
    <w:rsid w:val="00D45EDF"/>
    <w:rsid w:val="00D46258"/>
    <w:rsid w:val="00D46AB6"/>
    <w:rsid w:val="00D46FE1"/>
    <w:rsid w:val="00D472FD"/>
    <w:rsid w:val="00D5006B"/>
    <w:rsid w:val="00D50320"/>
    <w:rsid w:val="00D50C7B"/>
    <w:rsid w:val="00D51D0E"/>
    <w:rsid w:val="00D51DEC"/>
    <w:rsid w:val="00D52BFA"/>
    <w:rsid w:val="00D52E4A"/>
    <w:rsid w:val="00D52E7D"/>
    <w:rsid w:val="00D53595"/>
    <w:rsid w:val="00D53F9E"/>
    <w:rsid w:val="00D5586C"/>
    <w:rsid w:val="00D55B92"/>
    <w:rsid w:val="00D56174"/>
    <w:rsid w:val="00D57422"/>
    <w:rsid w:val="00D5792C"/>
    <w:rsid w:val="00D57BA2"/>
    <w:rsid w:val="00D613AF"/>
    <w:rsid w:val="00D61EB8"/>
    <w:rsid w:val="00D62427"/>
    <w:rsid w:val="00D625DC"/>
    <w:rsid w:val="00D632F1"/>
    <w:rsid w:val="00D634A5"/>
    <w:rsid w:val="00D635BE"/>
    <w:rsid w:val="00D64156"/>
    <w:rsid w:val="00D64504"/>
    <w:rsid w:val="00D646B2"/>
    <w:rsid w:val="00D653F3"/>
    <w:rsid w:val="00D6554A"/>
    <w:rsid w:val="00D65D18"/>
    <w:rsid w:val="00D667AA"/>
    <w:rsid w:val="00D6751B"/>
    <w:rsid w:val="00D677CD"/>
    <w:rsid w:val="00D67E44"/>
    <w:rsid w:val="00D67FFA"/>
    <w:rsid w:val="00D704D4"/>
    <w:rsid w:val="00D70720"/>
    <w:rsid w:val="00D71039"/>
    <w:rsid w:val="00D7129A"/>
    <w:rsid w:val="00D7255B"/>
    <w:rsid w:val="00D73078"/>
    <w:rsid w:val="00D73184"/>
    <w:rsid w:val="00D7347A"/>
    <w:rsid w:val="00D74247"/>
    <w:rsid w:val="00D7462F"/>
    <w:rsid w:val="00D75BA2"/>
    <w:rsid w:val="00D7630B"/>
    <w:rsid w:val="00D76E6E"/>
    <w:rsid w:val="00D7788C"/>
    <w:rsid w:val="00D80B4C"/>
    <w:rsid w:val="00D80E1A"/>
    <w:rsid w:val="00D8217F"/>
    <w:rsid w:val="00D82F3B"/>
    <w:rsid w:val="00D833A0"/>
    <w:rsid w:val="00D83ABF"/>
    <w:rsid w:val="00D84BF0"/>
    <w:rsid w:val="00D84F35"/>
    <w:rsid w:val="00D85B37"/>
    <w:rsid w:val="00D86074"/>
    <w:rsid w:val="00D867F6"/>
    <w:rsid w:val="00D86BF6"/>
    <w:rsid w:val="00D877FA"/>
    <w:rsid w:val="00D90BA2"/>
    <w:rsid w:val="00D90ECC"/>
    <w:rsid w:val="00D91255"/>
    <w:rsid w:val="00D92698"/>
    <w:rsid w:val="00D929AC"/>
    <w:rsid w:val="00D92E25"/>
    <w:rsid w:val="00D92FDB"/>
    <w:rsid w:val="00D93346"/>
    <w:rsid w:val="00D9344A"/>
    <w:rsid w:val="00D93591"/>
    <w:rsid w:val="00D93653"/>
    <w:rsid w:val="00D93A67"/>
    <w:rsid w:val="00D951F2"/>
    <w:rsid w:val="00D955A5"/>
    <w:rsid w:val="00D97648"/>
    <w:rsid w:val="00DA0310"/>
    <w:rsid w:val="00DA052F"/>
    <w:rsid w:val="00DA06F5"/>
    <w:rsid w:val="00DA097C"/>
    <w:rsid w:val="00DA36A8"/>
    <w:rsid w:val="00DA3CA0"/>
    <w:rsid w:val="00DA421A"/>
    <w:rsid w:val="00DA4F31"/>
    <w:rsid w:val="00DA50EF"/>
    <w:rsid w:val="00DA6073"/>
    <w:rsid w:val="00DA7358"/>
    <w:rsid w:val="00DA754E"/>
    <w:rsid w:val="00DA7827"/>
    <w:rsid w:val="00DA7FEF"/>
    <w:rsid w:val="00DB0FB6"/>
    <w:rsid w:val="00DB0FE7"/>
    <w:rsid w:val="00DB1A81"/>
    <w:rsid w:val="00DB28E1"/>
    <w:rsid w:val="00DB32AC"/>
    <w:rsid w:val="00DB38A1"/>
    <w:rsid w:val="00DB3F09"/>
    <w:rsid w:val="00DB420E"/>
    <w:rsid w:val="00DB433D"/>
    <w:rsid w:val="00DB5190"/>
    <w:rsid w:val="00DB60CF"/>
    <w:rsid w:val="00DB624D"/>
    <w:rsid w:val="00DB63F0"/>
    <w:rsid w:val="00DB668A"/>
    <w:rsid w:val="00DB6A83"/>
    <w:rsid w:val="00DB7043"/>
    <w:rsid w:val="00DB713B"/>
    <w:rsid w:val="00DC02FD"/>
    <w:rsid w:val="00DC0640"/>
    <w:rsid w:val="00DC1A66"/>
    <w:rsid w:val="00DC1C29"/>
    <w:rsid w:val="00DC22C1"/>
    <w:rsid w:val="00DC2C98"/>
    <w:rsid w:val="00DC3631"/>
    <w:rsid w:val="00DC37E4"/>
    <w:rsid w:val="00DC3A52"/>
    <w:rsid w:val="00DC4264"/>
    <w:rsid w:val="00DC4818"/>
    <w:rsid w:val="00DC5298"/>
    <w:rsid w:val="00DC52B1"/>
    <w:rsid w:val="00DC582F"/>
    <w:rsid w:val="00DC6A7C"/>
    <w:rsid w:val="00DC7210"/>
    <w:rsid w:val="00DC7DDA"/>
    <w:rsid w:val="00DC7E44"/>
    <w:rsid w:val="00DD0177"/>
    <w:rsid w:val="00DD0A88"/>
    <w:rsid w:val="00DD1144"/>
    <w:rsid w:val="00DD1226"/>
    <w:rsid w:val="00DD12E1"/>
    <w:rsid w:val="00DD1A7E"/>
    <w:rsid w:val="00DD2A7C"/>
    <w:rsid w:val="00DD314B"/>
    <w:rsid w:val="00DD3526"/>
    <w:rsid w:val="00DD375E"/>
    <w:rsid w:val="00DD4E24"/>
    <w:rsid w:val="00DD527D"/>
    <w:rsid w:val="00DD5A6B"/>
    <w:rsid w:val="00DD5C5B"/>
    <w:rsid w:val="00DD6282"/>
    <w:rsid w:val="00DD6D60"/>
    <w:rsid w:val="00DD77F4"/>
    <w:rsid w:val="00DD785B"/>
    <w:rsid w:val="00DD7CDB"/>
    <w:rsid w:val="00DE0F9E"/>
    <w:rsid w:val="00DE12F7"/>
    <w:rsid w:val="00DE23CE"/>
    <w:rsid w:val="00DE23FB"/>
    <w:rsid w:val="00DE3824"/>
    <w:rsid w:val="00DE395C"/>
    <w:rsid w:val="00DE3A0E"/>
    <w:rsid w:val="00DE4282"/>
    <w:rsid w:val="00DE4681"/>
    <w:rsid w:val="00DE5252"/>
    <w:rsid w:val="00DE5B49"/>
    <w:rsid w:val="00DE5D66"/>
    <w:rsid w:val="00DE6785"/>
    <w:rsid w:val="00DE7E4F"/>
    <w:rsid w:val="00DF05C0"/>
    <w:rsid w:val="00DF1B99"/>
    <w:rsid w:val="00DF1DD9"/>
    <w:rsid w:val="00DF2A32"/>
    <w:rsid w:val="00DF31A2"/>
    <w:rsid w:val="00DF3A03"/>
    <w:rsid w:val="00DF3EDB"/>
    <w:rsid w:val="00DF4527"/>
    <w:rsid w:val="00DF46A5"/>
    <w:rsid w:val="00DF4BBE"/>
    <w:rsid w:val="00DF5151"/>
    <w:rsid w:val="00DF53E8"/>
    <w:rsid w:val="00DF58D9"/>
    <w:rsid w:val="00DF60E4"/>
    <w:rsid w:val="00DF61AB"/>
    <w:rsid w:val="00DF66E3"/>
    <w:rsid w:val="00DF6ACF"/>
    <w:rsid w:val="00DF7416"/>
    <w:rsid w:val="00DF781F"/>
    <w:rsid w:val="00DF7C4C"/>
    <w:rsid w:val="00E00161"/>
    <w:rsid w:val="00E00780"/>
    <w:rsid w:val="00E00EEE"/>
    <w:rsid w:val="00E00F20"/>
    <w:rsid w:val="00E01621"/>
    <w:rsid w:val="00E01F19"/>
    <w:rsid w:val="00E0324B"/>
    <w:rsid w:val="00E033ED"/>
    <w:rsid w:val="00E04D70"/>
    <w:rsid w:val="00E04E3F"/>
    <w:rsid w:val="00E05410"/>
    <w:rsid w:val="00E054F2"/>
    <w:rsid w:val="00E05D5F"/>
    <w:rsid w:val="00E063EB"/>
    <w:rsid w:val="00E06FF1"/>
    <w:rsid w:val="00E070CD"/>
    <w:rsid w:val="00E0756C"/>
    <w:rsid w:val="00E07799"/>
    <w:rsid w:val="00E079BA"/>
    <w:rsid w:val="00E10A5A"/>
    <w:rsid w:val="00E113FA"/>
    <w:rsid w:val="00E13565"/>
    <w:rsid w:val="00E13A60"/>
    <w:rsid w:val="00E14716"/>
    <w:rsid w:val="00E14A0F"/>
    <w:rsid w:val="00E169C3"/>
    <w:rsid w:val="00E177E6"/>
    <w:rsid w:val="00E17A25"/>
    <w:rsid w:val="00E20DFB"/>
    <w:rsid w:val="00E21197"/>
    <w:rsid w:val="00E21DB9"/>
    <w:rsid w:val="00E22788"/>
    <w:rsid w:val="00E22ADB"/>
    <w:rsid w:val="00E2370F"/>
    <w:rsid w:val="00E23959"/>
    <w:rsid w:val="00E23EEB"/>
    <w:rsid w:val="00E240E9"/>
    <w:rsid w:val="00E2445E"/>
    <w:rsid w:val="00E24483"/>
    <w:rsid w:val="00E244C6"/>
    <w:rsid w:val="00E245D4"/>
    <w:rsid w:val="00E24F93"/>
    <w:rsid w:val="00E250B8"/>
    <w:rsid w:val="00E264A9"/>
    <w:rsid w:val="00E2655C"/>
    <w:rsid w:val="00E27473"/>
    <w:rsid w:val="00E3074A"/>
    <w:rsid w:val="00E31825"/>
    <w:rsid w:val="00E31A5C"/>
    <w:rsid w:val="00E31D24"/>
    <w:rsid w:val="00E32003"/>
    <w:rsid w:val="00E32624"/>
    <w:rsid w:val="00E33D4C"/>
    <w:rsid w:val="00E34522"/>
    <w:rsid w:val="00E347E7"/>
    <w:rsid w:val="00E34AC9"/>
    <w:rsid w:val="00E358F8"/>
    <w:rsid w:val="00E37D80"/>
    <w:rsid w:val="00E4068D"/>
    <w:rsid w:val="00E41394"/>
    <w:rsid w:val="00E4174C"/>
    <w:rsid w:val="00E41D3B"/>
    <w:rsid w:val="00E41E91"/>
    <w:rsid w:val="00E41EA3"/>
    <w:rsid w:val="00E42032"/>
    <w:rsid w:val="00E42A8C"/>
    <w:rsid w:val="00E42BCA"/>
    <w:rsid w:val="00E4300E"/>
    <w:rsid w:val="00E43BA7"/>
    <w:rsid w:val="00E4430F"/>
    <w:rsid w:val="00E444E4"/>
    <w:rsid w:val="00E44AED"/>
    <w:rsid w:val="00E44B5A"/>
    <w:rsid w:val="00E45174"/>
    <w:rsid w:val="00E45548"/>
    <w:rsid w:val="00E455BA"/>
    <w:rsid w:val="00E45FD9"/>
    <w:rsid w:val="00E463F5"/>
    <w:rsid w:val="00E466C5"/>
    <w:rsid w:val="00E466D4"/>
    <w:rsid w:val="00E4670C"/>
    <w:rsid w:val="00E4695E"/>
    <w:rsid w:val="00E47079"/>
    <w:rsid w:val="00E470C5"/>
    <w:rsid w:val="00E47242"/>
    <w:rsid w:val="00E47BA1"/>
    <w:rsid w:val="00E51500"/>
    <w:rsid w:val="00E51E9C"/>
    <w:rsid w:val="00E52830"/>
    <w:rsid w:val="00E53D2C"/>
    <w:rsid w:val="00E545C4"/>
    <w:rsid w:val="00E54B86"/>
    <w:rsid w:val="00E550A3"/>
    <w:rsid w:val="00E5579C"/>
    <w:rsid w:val="00E55C86"/>
    <w:rsid w:val="00E5781D"/>
    <w:rsid w:val="00E5784F"/>
    <w:rsid w:val="00E578BC"/>
    <w:rsid w:val="00E57922"/>
    <w:rsid w:val="00E57FC9"/>
    <w:rsid w:val="00E60A74"/>
    <w:rsid w:val="00E614F9"/>
    <w:rsid w:val="00E635FB"/>
    <w:rsid w:val="00E64646"/>
    <w:rsid w:val="00E64824"/>
    <w:rsid w:val="00E64893"/>
    <w:rsid w:val="00E64DC8"/>
    <w:rsid w:val="00E64FBB"/>
    <w:rsid w:val="00E65806"/>
    <w:rsid w:val="00E65B32"/>
    <w:rsid w:val="00E65BEC"/>
    <w:rsid w:val="00E66B17"/>
    <w:rsid w:val="00E66F10"/>
    <w:rsid w:val="00E67372"/>
    <w:rsid w:val="00E67799"/>
    <w:rsid w:val="00E6798E"/>
    <w:rsid w:val="00E7105A"/>
    <w:rsid w:val="00E71077"/>
    <w:rsid w:val="00E71385"/>
    <w:rsid w:val="00E7142F"/>
    <w:rsid w:val="00E71539"/>
    <w:rsid w:val="00E72238"/>
    <w:rsid w:val="00E722C5"/>
    <w:rsid w:val="00E72D62"/>
    <w:rsid w:val="00E7383E"/>
    <w:rsid w:val="00E73B22"/>
    <w:rsid w:val="00E74C13"/>
    <w:rsid w:val="00E74F20"/>
    <w:rsid w:val="00E75E11"/>
    <w:rsid w:val="00E75F4D"/>
    <w:rsid w:val="00E76011"/>
    <w:rsid w:val="00E76114"/>
    <w:rsid w:val="00E762F8"/>
    <w:rsid w:val="00E76BA0"/>
    <w:rsid w:val="00E76BDC"/>
    <w:rsid w:val="00E776FE"/>
    <w:rsid w:val="00E80842"/>
    <w:rsid w:val="00E808ED"/>
    <w:rsid w:val="00E80F90"/>
    <w:rsid w:val="00E817AA"/>
    <w:rsid w:val="00E81C50"/>
    <w:rsid w:val="00E820BE"/>
    <w:rsid w:val="00E82470"/>
    <w:rsid w:val="00E82BE1"/>
    <w:rsid w:val="00E834BB"/>
    <w:rsid w:val="00E838D4"/>
    <w:rsid w:val="00E83A77"/>
    <w:rsid w:val="00E83ECB"/>
    <w:rsid w:val="00E85C93"/>
    <w:rsid w:val="00E866BA"/>
    <w:rsid w:val="00E8717B"/>
    <w:rsid w:val="00E87298"/>
    <w:rsid w:val="00E875A6"/>
    <w:rsid w:val="00E875A9"/>
    <w:rsid w:val="00E8781C"/>
    <w:rsid w:val="00E87894"/>
    <w:rsid w:val="00E87ED7"/>
    <w:rsid w:val="00E9002A"/>
    <w:rsid w:val="00E919B5"/>
    <w:rsid w:val="00E91A89"/>
    <w:rsid w:val="00E91CA9"/>
    <w:rsid w:val="00E91FB5"/>
    <w:rsid w:val="00E922FA"/>
    <w:rsid w:val="00E9257F"/>
    <w:rsid w:val="00E93191"/>
    <w:rsid w:val="00E94995"/>
    <w:rsid w:val="00E953B5"/>
    <w:rsid w:val="00E9569C"/>
    <w:rsid w:val="00E956BC"/>
    <w:rsid w:val="00E96125"/>
    <w:rsid w:val="00E96D35"/>
    <w:rsid w:val="00E97B55"/>
    <w:rsid w:val="00E97E44"/>
    <w:rsid w:val="00EA05F5"/>
    <w:rsid w:val="00EA0B70"/>
    <w:rsid w:val="00EA2DFD"/>
    <w:rsid w:val="00EA31B5"/>
    <w:rsid w:val="00EA3723"/>
    <w:rsid w:val="00EA431B"/>
    <w:rsid w:val="00EA48A8"/>
    <w:rsid w:val="00EA48F8"/>
    <w:rsid w:val="00EA4F16"/>
    <w:rsid w:val="00EA5339"/>
    <w:rsid w:val="00EA547E"/>
    <w:rsid w:val="00EA574F"/>
    <w:rsid w:val="00EA58DB"/>
    <w:rsid w:val="00EA608C"/>
    <w:rsid w:val="00EA6508"/>
    <w:rsid w:val="00EA666C"/>
    <w:rsid w:val="00EB0B0E"/>
    <w:rsid w:val="00EB0ED2"/>
    <w:rsid w:val="00EB1895"/>
    <w:rsid w:val="00EB1FD1"/>
    <w:rsid w:val="00EB234A"/>
    <w:rsid w:val="00EB2486"/>
    <w:rsid w:val="00EB33EF"/>
    <w:rsid w:val="00EB3466"/>
    <w:rsid w:val="00EB3481"/>
    <w:rsid w:val="00EB34B7"/>
    <w:rsid w:val="00EB41CC"/>
    <w:rsid w:val="00EB4C60"/>
    <w:rsid w:val="00EB5068"/>
    <w:rsid w:val="00EB52F3"/>
    <w:rsid w:val="00EB54CF"/>
    <w:rsid w:val="00EB793F"/>
    <w:rsid w:val="00EC052B"/>
    <w:rsid w:val="00EC0BFC"/>
    <w:rsid w:val="00EC105E"/>
    <w:rsid w:val="00EC12E8"/>
    <w:rsid w:val="00EC1419"/>
    <w:rsid w:val="00EC167D"/>
    <w:rsid w:val="00EC195A"/>
    <w:rsid w:val="00EC1C2B"/>
    <w:rsid w:val="00EC21AF"/>
    <w:rsid w:val="00EC2477"/>
    <w:rsid w:val="00EC2519"/>
    <w:rsid w:val="00EC25F9"/>
    <w:rsid w:val="00EC2958"/>
    <w:rsid w:val="00EC3359"/>
    <w:rsid w:val="00EC377A"/>
    <w:rsid w:val="00EC37CD"/>
    <w:rsid w:val="00EC3E9B"/>
    <w:rsid w:val="00EC4AD8"/>
    <w:rsid w:val="00EC6857"/>
    <w:rsid w:val="00EC6EA9"/>
    <w:rsid w:val="00EC7464"/>
    <w:rsid w:val="00EC7E10"/>
    <w:rsid w:val="00EC7EF0"/>
    <w:rsid w:val="00ED00D3"/>
    <w:rsid w:val="00ED0A9E"/>
    <w:rsid w:val="00ED0AB9"/>
    <w:rsid w:val="00ED0E12"/>
    <w:rsid w:val="00ED12CC"/>
    <w:rsid w:val="00ED1AC1"/>
    <w:rsid w:val="00ED2308"/>
    <w:rsid w:val="00ED24A9"/>
    <w:rsid w:val="00ED280A"/>
    <w:rsid w:val="00ED33EB"/>
    <w:rsid w:val="00ED4234"/>
    <w:rsid w:val="00ED4737"/>
    <w:rsid w:val="00ED57C1"/>
    <w:rsid w:val="00ED5BDA"/>
    <w:rsid w:val="00ED5EF8"/>
    <w:rsid w:val="00ED617B"/>
    <w:rsid w:val="00ED6553"/>
    <w:rsid w:val="00ED68E8"/>
    <w:rsid w:val="00ED73D7"/>
    <w:rsid w:val="00ED7457"/>
    <w:rsid w:val="00EE2492"/>
    <w:rsid w:val="00EE26AB"/>
    <w:rsid w:val="00EE2959"/>
    <w:rsid w:val="00EE29A9"/>
    <w:rsid w:val="00EE3103"/>
    <w:rsid w:val="00EE32C5"/>
    <w:rsid w:val="00EE39F9"/>
    <w:rsid w:val="00EE3F4A"/>
    <w:rsid w:val="00EE4765"/>
    <w:rsid w:val="00EE49C5"/>
    <w:rsid w:val="00EE4A4A"/>
    <w:rsid w:val="00EE4FB5"/>
    <w:rsid w:val="00EE581C"/>
    <w:rsid w:val="00EE660D"/>
    <w:rsid w:val="00EE7E97"/>
    <w:rsid w:val="00EF02F3"/>
    <w:rsid w:val="00EF0391"/>
    <w:rsid w:val="00EF0A16"/>
    <w:rsid w:val="00EF14AC"/>
    <w:rsid w:val="00EF190A"/>
    <w:rsid w:val="00EF27AA"/>
    <w:rsid w:val="00EF2D31"/>
    <w:rsid w:val="00EF31ED"/>
    <w:rsid w:val="00EF3215"/>
    <w:rsid w:val="00EF3FB4"/>
    <w:rsid w:val="00EF52E9"/>
    <w:rsid w:val="00EF5ADC"/>
    <w:rsid w:val="00EF5D05"/>
    <w:rsid w:val="00EF6D3A"/>
    <w:rsid w:val="00EF75F8"/>
    <w:rsid w:val="00F01477"/>
    <w:rsid w:val="00F015FD"/>
    <w:rsid w:val="00F032E2"/>
    <w:rsid w:val="00F04B9C"/>
    <w:rsid w:val="00F04DED"/>
    <w:rsid w:val="00F05D03"/>
    <w:rsid w:val="00F06320"/>
    <w:rsid w:val="00F064D5"/>
    <w:rsid w:val="00F076F2"/>
    <w:rsid w:val="00F105A4"/>
    <w:rsid w:val="00F1091A"/>
    <w:rsid w:val="00F11C5B"/>
    <w:rsid w:val="00F11D28"/>
    <w:rsid w:val="00F121C1"/>
    <w:rsid w:val="00F1244E"/>
    <w:rsid w:val="00F126DA"/>
    <w:rsid w:val="00F12A55"/>
    <w:rsid w:val="00F12FB4"/>
    <w:rsid w:val="00F13766"/>
    <w:rsid w:val="00F16221"/>
    <w:rsid w:val="00F168FD"/>
    <w:rsid w:val="00F16A45"/>
    <w:rsid w:val="00F16BAA"/>
    <w:rsid w:val="00F20805"/>
    <w:rsid w:val="00F20AA9"/>
    <w:rsid w:val="00F20CAB"/>
    <w:rsid w:val="00F21594"/>
    <w:rsid w:val="00F21A0B"/>
    <w:rsid w:val="00F22A88"/>
    <w:rsid w:val="00F22F8C"/>
    <w:rsid w:val="00F239C4"/>
    <w:rsid w:val="00F2446A"/>
    <w:rsid w:val="00F24C7F"/>
    <w:rsid w:val="00F26491"/>
    <w:rsid w:val="00F274BB"/>
    <w:rsid w:val="00F278D3"/>
    <w:rsid w:val="00F27903"/>
    <w:rsid w:val="00F27F5B"/>
    <w:rsid w:val="00F303F6"/>
    <w:rsid w:val="00F30B02"/>
    <w:rsid w:val="00F30FD0"/>
    <w:rsid w:val="00F3191E"/>
    <w:rsid w:val="00F321DA"/>
    <w:rsid w:val="00F32697"/>
    <w:rsid w:val="00F332E8"/>
    <w:rsid w:val="00F335B0"/>
    <w:rsid w:val="00F337CC"/>
    <w:rsid w:val="00F34285"/>
    <w:rsid w:val="00F34DFE"/>
    <w:rsid w:val="00F34E18"/>
    <w:rsid w:val="00F34EC7"/>
    <w:rsid w:val="00F35149"/>
    <w:rsid w:val="00F35868"/>
    <w:rsid w:val="00F36546"/>
    <w:rsid w:val="00F400CB"/>
    <w:rsid w:val="00F4063D"/>
    <w:rsid w:val="00F41070"/>
    <w:rsid w:val="00F417BA"/>
    <w:rsid w:val="00F425C5"/>
    <w:rsid w:val="00F428EE"/>
    <w:rsid w:val="00F42FC4"/>
    <w:rsid w:val="00F43186"/>
    <w:rsid w:val="00F451FC"/>
    <w:rsid w:val="00F45256"/>
    <w:rsid w:val="00F457D7"/>
    <w:rsid w:val="00F45CA7"/>
    <w:rsid w:val="00F46D00"/>
    <w:rsid w:val="00F471EF"/>
    <w:rsid w:val="00F473C4"/>
    <w:rsid w:val="00F47BDB"/>
    <w:rsid w:val="00F5043C"/>
    <w:rsid w:val="00F50535"/>
    <w:rsid w:val="00F50C00"/>
    <w:rsid w:val="00F518B4"/>
    <w:rsid w:val="00F52005"/>
    <w:rsid w:val="00F53418"/>
    <w:rsid w:val="00F5367C"/>
    <w:rsid w:val="00F5388D"/>
    <w:rsid w:val="00F53BE9"/>
    <w:rsid w:val="00F55017"/>
    <w:rsid w:val="00F553B9"/>
    <w:rsid w:val="00F557BA"/>
    <w:rsid w:val="00F572DF"/>
    <w:rsid w:val="00F57FC7"/>
    <w:rsid w:val="00F61EBD"/>
    <w:rsid w:val="00F61F9A"/>
    <w:rsid w:val="00F622F9"/>
    <w:rsid w:val="00F6254D"/>
    <w:rsid w:val="00F62910"/>
    <w:rsid w:val="00F62DAB"/>
    <w:rsid w:val="00F6323A"/>
    <w:rsid w:val="00F63AA3"/>
    <w:rsid w:val="00F64A85"/>
    <w:rsid w:val="00F65356"/>
    <w:rsid w:val="00F65C3C"/>
    <w:rsid w:val="00F66B34"/>
    <w:rsid w:val="00F66B54"/>
    <w:rsid w:val="00F67C3E"/>
    <w:rsid w:val="00F70D65"/>
    <w:rsid w:val="00F71E17"/>
    <w:rsid w:val="00F72DE6"/>
    <w:rsid w:val="00F741E6"/>
    <w:rsid w:val="00F750F5"/>
    <w:rsid w:val="00F75AEB"/>
    <w:rsid w:val="00F76C4B"/>
    <w:rsid w:val="00F802BE"/>
    <w:rsid w:val="00F81738"/>
    <w:rsid w:val="00F81BDB"/>
    <w:rsid w:val="00F8272F"/>
    <w:rsid w:val="00F82928"/>
    <w:rsid w:val="00F83591"/>
    <w:rsid w:val="00F83BA3"/>
    <w:rsid w:val="00F83DAF"/>
    <w:rsid w:val="00F84633"/>
    <w:rsid w:val="00F847FD"/>
    <w:rsid w:val="00F84D4D"/>
    <w:rsid w:val="00F87158"/>
    <w:rsid w:val="00F90841"/>
    <w:rsid w:val="00F9154C"/>
    <w:rsid w:val="00F91973"/>
    <w:rsid w:val="00F92B4D"/>
    <w:rsid w:val="00F92E18"/>
    <w:rsid w:val="00F92EA1"/>
    <w:rsid w:val="00F93868"/>
    <w:rsid w:val="00F93DF5"/>
    <w:rsid w:val="00F941FF"/>
    <w:rsid w:val="00F942CD"/>
    <w:rsid w:val="00F9434C"/>
    <w:rsid w:val="00F94B95"/>
    <w:rsid w:val="00F94F85"/>
    <w:rsid w:val="00F95D82"/>
    <w:rsid w:val="00F95E11"/>
    <w:rsid w:val="00F95EBE"/>
    <w:rsid w:val="00F968F6"/>
    <w:rsid w:val="00F97B78"/>
    <w:rsid w:val="00F97D14"/>
    <w:rsid w:val="00FA05AB"/>
    <w:rsid w:val="00FA131B"/>
    <w:rsid w:val="00FA22E2"/>
    <w:rsid w:val="00FA2BAB"/>
    <w:rsid w:val="00FA2D30"/>
    <w:rsid w:val="00FA46A9"/>
    <w:rsid w:val="00FA5A50"/>
    <w:rsid w:val="00FA6284"/>
    <w:rsid w:val="00FA7523"/>
    <w:rsid w:val="00FA7A46"/>
    <w:rsid w:val="00FB0BEA"/>
    <w:rsid w:val="00FB1584"/>
    <w:rsid w:val="00FB26E2"/>
    <w:rsid w:val="00FB3A13"/>
    <w:rsid w:val="00FB3F37"/>
    <w:rsid w:val="00FB41E0"/>
    <w:rsid w:val="00FB4BCF"/>
    <w:rsid w:val="00FB4CA5"/>
    <w:rsid w:val="00FB4D8F"/>
    <w:rsid w:val="00FB5B30"/>
    <w:rsid w:val="00FB5E33"/>
    <w:rsid w:val="00FB763E"/>
    <w:rsid w:val="00FB7BDC"/>
    <w:rsid w:val="00FC03B9"/>
    <w:rsid w:val="00FC0436"/>
    <w:rsid w:val="00FC0522"/>
    <w:rsid w:val="00FC057F"/>
    <w:rsid w:val="00FC119C"/>
    <w:rsid w:val="00FC1628"/>
    <w:rsid w:val="00FC183A"/>
    <w:rsid w:val="00FC29D7"/>
    <w:rsid w:val="00FC2EAC"/>
    <w:rsid w:val="00FC4015"/>
    <w:rsid w:val="00FC42D9"/>
    <w:rsid w:val="00FC4703"/>
    <w:rsid w:val="00FC52DB"/>
    <w:rsid w:val="00FC581B"/>
    <w:rsid w:val="00FC6AC0"/>
    <w:rsid w:val="00FC6D5E"/>
    <w:rsid w:val="00FC6FE0"/>
    <w:rsid w:val="00FC701D"/>
    <w:rsid w:val="00FD0F7E"/>
    <w:rsid w:val="00FD2944"/>
    <w:rsid w:val="00FD317A"/>
    <w:rsid w:val="00FD3C05"/>
    <w:rsid w:val="00FD3DF6"/>
    <w:rsid w:val="00FD482E"/>
    <w:rsid w:val="00FD53C2"/>
    <w:rsid w:val="00FD58C4"/>
    <w:rsid w:val="00FD67F4"/>
    <w:rsid w:val="00FD73E3"/>
    <w:rsid w:val="00FE03A6"/>
    <w:rsid w:val="00FE098C"/>
    <w:rsid w:val="00FE1476"/>
    <w:rsid w:val="00FE14F3"/>
    <w:rsid w:val="00FE1DCB"/>
    <w:rsid w:val="00FE21ED"/>
    <w:rsid w:val="00FE28E6"/>
    <w:rsid w:val="00FE2908"/>
    <w:rsid w:val="00FE3A7F"/>
    <w:rsid w:val="00FE486F"/>
    <w:rsid w:val="00FE520C"/>
    <w:rsid w:val="00FE55D5"/>
    <w:rsid w:val="00FE57EB"/>
    <w:rsid w:val="00FE6D50"/>
    <w:rsid w:val="00FE7553"/>
    <w:rsid w:val="00FE7602"/>
    <w:rsid w:val="00FF1226"/>
    <w:rsid w:val="00FF19FA"/>
    <w:rsid w:val="00FF25A6"/>
    <w:rsid w:val="00FF3591"/>
    <w:rsid w:val="00FF3757"/>
    <w:rsid w:val="00FF4734"/>
    <w:rsid w:val="00FF48B0"/>
    <w:rsid w:val="00FF48C5"/>
    <w:rsid w:val="00FF5B00"/>
    <w:rsid w:val="00FF5C38"/>
    <w:rsid w:val="00FF6B2F"/>
    <w:rsid w:val="00FF6B45"/>
    <w:rsid w:val="00FF6D0B"/>
    <w:rsid w:val="00FF73C5"/>
    <w:rsid w:val="00FF74E9"/>
    <w:rsid w:val="00FF7E4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E2"/>
    <w:pPr>
      <w:overflowPunct w:val="0"/>
      <w:autoSpaceDE w:val="0"/>
      <w:autoSpaceDN w:val="0"/>
      <w:adjustRightInd w:val="0"/>
      <w:textAlignment w:val="baseline"/>
    </w:pPr>
    <w:rPr>
      <w:lang w:val="en-GB" w:eastAsia="en-US"/>
    </w:rPr>
  </w:style>
  <w:style w:type="paragraph" w:styleId="Heading1">
    <w:name w:val="heading 1"/>
    <w:basedOn w:val="Normal"/>
    <w:link w:val="Heading1Char"/>
    <w:uiPriority w:val="9"/>
    <w:qFormat/>
    <w:rsid w:val="005366CE"/>
    <w:pPr>
      <w:overflowPunct/>
      <w:autoSpaceDE/>
      <w:autoSpaceDN/>
      <w:adjustRightInd/>
      <w:spacing w:before="100" w:beforeAutospacing="1" w:after="100" w:afterAutospacing="1"/>
      <w:textAlignment w:val="auto"/>
      <w:outlineLvl w:val="0"/>
    </w:pPr>
    <w:rPr>
      <w:b/>
      <w:bCs/>
      <w:kern w:val="36"/>
      <w:sz w:val="48"/>
      <w:szCs w:val="48"/>
      <w:lang/>
    </w:rPr>
  </w:style>
  <w:style w:type="paragraph" w:styleId="Heading2">
    <w:name w:val="heading 2"/>
    <w:basedOn w:val="Normal"/>
    <w:next w:val="Normal"/>
    <w:link w:val="Heading2Char"/>
    <w:uiPriority w:val="9"/>
    <w:semiHidden/>
    <w:unhideWhenUsed/>
    <w:qFormat/>
    <w:rsid w:val="000339CC"/>
    <w:pPr>
      <w:keepNext/>
      <w:spacing w:before="240" w:after="60"/>
      <w:outlineLvl w:val="1"/>
    </w:pPr>
    <w:rPr>
      <w:rFonts w:ascii="Cambria" w:hAnsi="Cambria"/>
      <w:b/>
      <w:bCs/>
      <w:i/>
      <w:iCs/>
      <w:sz w:val="28"/>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66CE"/>
    <w:rPr>
      <w:b/>
      <w:bCs/>
      <w:kern w:val="36"/>
      <w:sz w:val="48"/>
      <w:szCs w:val="48"/>
    </w:rPr>
  </w:style>
  <w:style w:type="paragraph" w:customStyle="1" w:styleId="dark">
    <w:name w:val="dark"/>
    <w:basedOn w:val="Normal"/>
    <w:rsid w:val="005366CE"/>
    <w:pPr>
      <w:overflowPunct/>
      <w:autoSpaceDE/>
      <w:autoSpaceDN/>
      <w:adjustRightInd/>
      <w:spacing w:before="100" w:beforeAutospacing="1" w:after="100" w:afterAutospacing="1"/>
      <w:textAlignment w:val="auto"/>
    </w:pPr>
    <w:rPr>
      <w:sz w:val="24"/>
      <w:szCs w:val="24"/>
      <w:lang w:val="en-ZA" w:eastAsia="en-ZA"/>
    </w:rPr>
  </w:style>
  <w:style w:type="character" w:styleId="Strong">
    <w:name w:val="Strong"/>
    <w:uiPriority w:val="22"/>
    <w:qFormat/>
    <w:rsid w:val="005366CE"/>
    <w:rPr>
      <w:b/>
      <w:bCs/>
    </w:rPr>
  </w:style>
  <w:style w:type="character" w:customStyle="1" w:styleId="apple-converted-space">
    <w:name w:val="apple-converted-space"/>
    <w:basedOn w:val="DefaultParagraphFont"/>
    <w:rsid w:val="005366CE"/>
  </w:style>
  <w:style w:type="character" w:styleId="Emphasis">
    <w:name w:val="Emphasis"/>
    <w:uiPriority w:val="20"/>
    <w:qFormat/>
    <w:rsid w:val="005366CE"/>
    <w:rPr>
      <w:i/>
      <w:iCs/>
    </w:rPr>
  </w:style>
  <w:style w:type="paragraph" w:customStyle="1" w:styleId="mid-grey-text">
    <w:name w:val="mid-grey-text"/>
    <w:basedOn w:val="Normal"/>
    <w:rsid w:val="005366CE"/>
    <w:pPr>
      <w:overflowPunct/>
      <w:autoSpaceDE/>
      <w:autoSpaceDN/>
      <w:adjustRightInd/>
      <w:spacing w:before="100" w:beforeAutospacing="1" w:after="100" w:afterAutospacing="1"/>
      <w:textAlignment w:val="auto"/>
    </w:pPr>
    <w:rPr>
      <w:sz w:val="24"/>
      <w:szCs w:val="24"/>
      <w:lang w:val="en-ZA" w:eastAsia="en-ZA"/>
    </w:rPr>
  </w:style>
  <w:style w:type="character" w:styleId="Hyperlink">
    <w:name w:val="Hyperlink"/>
    <w:uiPriority w:val="99"/>
    <w:unhideWhenUsed/>
    <w:rsid w:val="005366CE"/>
    <w:rPr>
      <w:color w:val="0000FF"/>
      <w:u w:val="single"/>
    </w:rPr>
  </w:style>
  <w:style w:type="paragraph" w:styleId="NormalWeb">
    <w:name w:val="Normal (Web)"/>
    <w:basedOn w:val="Normal"/>
    <w:uiPriority w:val="99"/>
    <w:unhideWhenUsed/>
    <w:rsid w:val="005366CE"/>
    <w:pPr>
      <w:overflowPunct/>
      <w:autoSpaceDE/>
      <w:autoSpaceDN/>
      <w:adjustRightInd/>
      <w:spacing w:before="100" w:beforeAutospacing="1" w:after="100" w:afterAutospacing="1"/>
      <w:textAlignment w:val="auto"/>
    </w:pPr>
    <w:rPr>
      <w:sz w:val="24"/>
      <w:szCs w:val="24"/>
      <w:lang w:val="en-ZA" w:eastAsia="en-ZA"/>
    </w:rPr>
  </w:style>
  <w:style w:type="paragraph" w:customStyle="1" w:styleId="western">
    <w:name w:val="western"/>
    <w:basedOn w:val="Normal"/>
    <w:rsid w:val="005366CE"/>
    <w:pPr>
      <w:overflowPunct/>
      <w:autoSpaceDE/>
      <w:autoSpaceDN/>
      <w:adjustRightInd/>
      <w:spacing w:before="100" w:beforeAutospacing="1" w:after="100" w:afterAutospacing="1"/>
      <w:textAlignment w:val="auto"/>
    </w:pPr>
    <w:rPr>
      <w:sz w:val="24"/>
      <w:szCs w:val="24"/>
      <w:lang w:val="en-ZA" w:eastAsia="en-ZA"/>
    </w:rPr>
  </w:style>
  <w:style w:type="paragraph" w:customStyle="1" w:styleId="white-bold-underline">
    <w:name w:val="white-bold-underline"/>
    <w:basedOn w:val="Normal"/>
    <w:rsid w:val="005366CE"/>
    <w:pPr>
      <w:overflowPunct/>
      <w:autoSpaceDE/>
      <w:autoSpaceDN/>
      <w:adjustRightInd/>
      <w:spacing w:before="100" w:beforeAutospacing="1" w:after="100" w:afterAutospacing="1"/>
      <w:textAlignment w:val="auto"/>
    </w:pPr>
    <w:rPr>
      <w:sz w:val="24"/>
      <w:szCs w:val="24"/>
      <w:lang w:val="en-ZA" w:eastAsia="en-ZA"/>
    </w:rPr>
  </w:style>
  <w:style w:type="paragraph" w:customStyle="1" w:styleId="white-text-teal-background">
    <w:name w:val="white-text-teal-background"/>
    <w:basedOn w:val="Normal"/>
    <w:rsid w:val="005366CE"/>
    <w:pPr>
      <w:overflowPunct/>
      <w:autoSpaceDE/>
      <w:autoSpaceDN/>
      <w:adjustRightInd/>
      <w:spacing w:before="100" w:beforeAutospacing="1" w:after="100" w:afterAutospacing="1"/>
      <w:textAlignment w:val="auto"/>
    </w:pPr>
    <w:rPr>
      <w:sz w:val="24"/>
      <w:szCs w:val="24"/>
      <w:lang w:val="en-ZA" w:eastAsia="en-ZA"/>
    </w:rPr>
  </w:style>
  <w:style w:type="paragraph" w:customStyle="1" w:styleId="small">
    <w:name w:val="small"/>
    <w:basedOn w:val="Normal"/>
    <w:rsid w:val="005366CE"/>
    <w:pPr>
      <w:overflowPunct/>
      <w:autoSpaceDE/>
      <w:autoSpaceDN/>
      <w:adjustRightInd/>
      <w:spacing w:before="100" w:beforeAutospacing="1" w:after="100" w:afterAutospacing="1"/>
      <w:textAlignment w:val="auto"/>
    </w:pPr>
    <w:rPr>
      <w:sz w:val="24"/>
      <w:szCs w:val="24"/>
      <w:lang w:val="en-ZA" w:eastAsia="en-ZA"/>
    </w:rPr>
  </w:style>
  <w:style w:type="paragraph" w:customStyle="1" w:styleId="wd-head1">
    <w:name w:val="wd-head1"/>
    <w:basedOn w:val="Normal"/>
    <w:rsid w:val="00AE5D33"/>
    <w:pPr>
      <w:overflowPunct/>
      <w:autoSpaceDE/>
      <w:autoSpaceDN/>
      <w:adjustRightInd/>
      <w:spacing w:before="100" w:beforeAutospacing="1" w:after="100" w:afterAutospacing="1"/>
      <w:textAlignment w:val="auto"/>
    </w:pPr>
    <w:rPr>
      <w:sz w:val="24"/>
      <w:szCs w:val="24"/>
      <w:lang w:val="en-ZA" w:eastAsia="en-ZA"/>
    </w:rPr>
  </w:style>
  <w:style w:type="paragraph" w:customStyle="1" w:styleId="lg-assented-to">
    <w:name w:val="lg-assented-to"/>
    <w:basedOn w:val="Normal"/>
    <w:rsid w:val="00AE5D33"/>
    <w:pPr>
      <w:overflowPunct/>
      <w:autoSpaceDE/>
      <w:autoSpaceDN/>
      <w:adjustRightInd/>
      <w:spacing w:before="100" w:beforeAutospacing="1" w:after="100" w:afterAutospacing="1"/>
      <w:textAlignment w:val="auto"/>
    </w:pPr>
    <w:rPr>
      <w:sz w:val="24"/>
      <w:szCs w:val="24"/>
      <w:lang w:val="en-ZA" w:eastAsia="en-ZA"/>
    </w:rPr>
  </w:style>
  <w:style w:type="paragraph" w:customStyle="1" w:styleId="normal-text">
    <w:name w:val="normal-text"/>
    <w:basedOn w:val="Normal"/>
    <w:rsid w:val="00AE5D33"/>
    <w:pPr>
      <w:overflowPunct/>
      <w:autoSpaceDE/>
      <w:autoSpaceDN/>
      <w:adjustRightInd/>
      <w:spacing w:before="100" w:beforeAutospacing="1" w:after="100" w:afterAutospacing="1"/>
      <w:textAlignment w:val="auto"/>
    </w:pPr>
    <w:rPr>
      <w:sz w:val="24"/>
      <w:szCs w:val="24"/>
      <w:lang w:val="en-ZA" w:eastAsia="en-ZA"/>
    </w:rPr>
  </w:style>
  <w:style w:type="paragraph" w:customStyle="1" w:styleId="lg-italichead">
    <w:name w:val="lg-italichead"/>
    <w:basedOn w:val="Normal"/>
    <w:rsid w:val="00AE5D33"/>
    <w:pPr>
      <w:overflowPunct/>
      <w:autoSpaceDE/>
      <w:autoSpaceDN/>
      <w:adjustRightInd/>
      <w:spacing w:before="100" w:beforeAutospacing="1" w:after="100" w:afterAutospacing="1"/>
      <w:textAlignment w:val="auto"/>
    </w:pPr>
    <w:rPr>
      <w:sz w:val="24"/>
      <w:szCs w:val="24"/>
      <w:lang w:val="en-ZA" w:eastAsia="en-ZA"/>
    </w:rPr>
  </w:style>
  <w:style w:type="paragraph" w:customStyle="1" w:styleId="lg-tabletext">
    <w:name w:val="lg-tabletext"/>
    <w:basedOn w:val="Normal"/>
    <w:rsid w:val="00AE5D33"/>
    <w:pPr>
      <w:overflowPunct/>
      <w:autoSpaceDE/>
      <w:autoSpaceDN/>
      <w:adjustRightInd/>
      <w:spacing w:before="100" w:beforeAutospacing="1" w:after="100" w:afterAutospacing="1"/>
      <w:textAlignment w:val="auto"/>
    </w:pPr>
    <w:rPr>
      <w:sz w:val="24"/>
      <w:szCs w:val="24"/>
      <w:lang w:val="en-ZA" w:eastAsia="en-ZA"/>
    </w:rPr>
  </w:style>
  <w:style w:type="character" w:customStyle="1" w:styleId="Heading2Char">
    <w:name w:val="Heading 2 Char"/>
    <w:link w:val="Heading2"/>
    <w:uiPriority w:val="9"/>
    <w:semiHidden/>
    <w:rsid w:val="000339CC"/>
    <w:rPr>
      <w:rFonts w:ascii="Cambria" w:eastAsia="Times New Roman" w:hAnsi="Cambria" w:cs="Times New Roman"/>
      <w:b/>
      <w:bCs/>
      <w:i/>
      <w:iCs/>
      <w:sz w:val="28"/>
      <w:szCs w:val="28"/>
      <w:lang w:val="en-GB"/>
    </w:rPr>
  </w:style>
  <w:style w:type="paragraph" w:styleId="BalloonText">
    <w:name w:val="Balloon Text"/>
    <w:basedOn w:val="Normal"/>
    <w:link w:val="BalloonTextChar"/>
    <w:uiPriority w:val="99"/>
    <w:semiHidden/>
    <w:unhideWhenUsed/>
    <w:rsid w:val="008B7FC8"/>
    <w:rPr>
      <w:rFonts w:ascii="Tahoma" w:hAnsi="Tahoma"/>
      <w:sz w:val="16"/>
      <w:szCs w:val="16"/>
    </w:rPr>
  </w:style>
  <w:style w:type="character" w:customStyle="1" w:styleId="BalloonTextChar">
    <w:name w:val="Balloon Text Char"/>
    <w:link w:val="BalloonText"/>
    <w:uiPriority w:val="99"/>
    <w:semiHidden/>
    <w:rsid w:val="008B7FC8"/>
    <w:rPr>
      <w:rFonts w:ascii="Tahoma" w:hAnsi="Tahoma" w:cs="Tahoma"/>
      <w:sz w:val="16"/>
      <w:szCs w:val="16"/>
      <w:lang w:val="en-GB" w:eastAsia="en-US"/>
    </w:rPr>
  </w:style>
  <w:style w:type="paragraph" w:styleId="Header">
    <w:name w:val="header"/>
    <w:basedOn w:val="Normal"/>
    <w:link w:val="HeaderChar"/>
    <w:uiPriority w:val="99"/>
    <w:unhideWhenUsed/>
    <w:rsid w:val="00E875A9"/>
    <w:pPr>
      <w:tabs>
        <w:tab w:val="center" w:pos="4513"/>
        <w:tab w:val="right" w:pos="9026"/>
      </w:tabs>
    </w:pPr>
  </w:style>
  <w:style w:type="character" w:customStyle="1" w:styleId="HeaderChar">
    <w:name w:val="Header Char"/>
    <w:link w:val="Header"/>
    <w:uiPriority w:val="99"/>
    <w:rsid w:val="00E875A9"/>
    <w:rPr>
      <w:lang w:val="en-GB" w:eastAsia="en-US"/>
    </w:rPr>
  </w:style>
  <w:style w:type="paragraph" w:styleId="Footer">
    <w:name w:val="footer"/>
    <w:basedOn w:val="Normal"/>
    <w:link w:val="FooterChar"/>
    <w:uiPriority w:val="99"/>
    <w:unhideWhenUsed/>
    <w:rsid w:val="00E875A9"/>
    <w:pPr>
      <w:tabs>
        <w:tab w:val="center" w:pos="4513"/>
        <w:tab w:val="right" w:pos="9026"/>
      </w:tabs>
    </w:pPr>
  </w:style>
  <w:style w:type="character" w:customStyle="1" w:styleId="FooterChar">
    <w:name w:val="Footer Char"/>
    <w:link w:val="Footer"/>
    <w:uiPriority w:val="99"/>
    <w:rsid w:val="00E875A9"/>
    <w:rPr>
      <w:lang w:val="en-GB" w:eastAsia="en-US"/>
    </w:rPr>
  </w:style>
</w:styles>
</file>

<file path=word/webSettings.xml><?xml version="1.0" encoding="utf-8"?>
<w:webSettings xmlns:r="http://schemas.openxmlformats.org/officeDocument/2006/relationships" xmlns:w="http://schemas.openxmlformats.org/wordprocessingml/2006/main">
  <w:divs>
    <w:div w:id="9720729">
      <w:bodyDiv w:val="1"/>
      <w:marLeft w:val="0"/>
      <w:marRight w:val="0"/>
      <w:marTop w:val="0"/>
      <w:marBottom w:val="0"/>
      <w:divBdr>
        <w:top w:val="none" w:sz="0" w:space="0" w:color="auto"/>
        <w:left w:val="none" w:sz="0" w:space="0" w:color="auto"/>
        <w:bottom w:val="none" w:sz="0" w:space="0" w:color="auto"/>
        <w:right w:val="none" w:sz="0" w:space="0" w:color="auto"/>
      </w:divBdr>
    </w:div>
    <w:div w:id="20474957">
      <w:bodyDiv w:val="1"/>
      <w:marLeft w:val="0"/>
      <w:marRight w:val="0"/>
      <w:marTop w:val="0"/>
      <w:marBottom w:val="0"/>
      <w:divBdr>
        <w:top w:val="none" w:sz="0" w:space="0" w:color="auto"/>
        <w:left w:val="none" w:sz="0" w:space="0" w:color="auto"/>
        <w:bottom w:val="none" w:sz="0" w:space="0" w:color="auto"/>
        <w:right w:val="none" w:sz="0" w:space="0" w:color="auto"/>
      </w:divBdr>
    </w:div>
    <w:div w:id="205264923">
      <w:bodyDiv w:val="1"/>
      <w:marLeft w:val="0"/>
      <w:marRight w:val="0"/>
      <w:marTop w:val="0"/>
      <w:marBottom w:val="0"/>
      <w:divBdr>
        <w:top w:val="none" w:sz="0" w:space="0" w:color="auto"/>
        <w:left w:val="none" w:sz="0" w:space="0" w:color="auto"/>
        <w:bottom w:val="none" w:sz="0" w:space="0" w:color="auto"/>
        <w:right w:val="none" w:sz="0" w:space="0" w:color="auto"/>
      </w:divBdr>
    </w:div>
    <w:div w:id="230622952">
      <w:bodyDiv w:val="1"/>
      <w:marLeft w:val="0"/>
      <w:marRight w:val="0"/>
      <w:marTop w:val="0"/>
      <w:marBottom w:val="0"/>
      <w:divBdr>
        <w:top w:val="none" w:sz="0" w:space="0" w:color="auto"/>
        <w:left w:val="none" w:sz="0" w:space="0" w:color="auto"/>
        <w:bottom w:val="none" w:sz="0" w:space="0" w:color="auto"/>
        <w:right w:val="none" w:sz="0" w:space="0" w:color="auto"/>
      </w:divBdr>
    </w:div>
    <w:div w:id="240220638">
      <w:bodyDiv w:val="1"/>
      <w:marLeft w:val="0"/>
      <w:marRight w:val="0"/>
      <w:marTop w:val="0"/>
      <w:marBottom w:val="0"/>
      <w:divBdr>
        <w:top w:val="none" w:sz="0" w:space="0" w:color="auto"/>
        <w:left w:val="none" w:sz="0" w:space="0" w:color="auto"/>
        <w:bottom w:val="none" w:sz="0" w:space="0" w:color="auto"/>
        <w:right w:val="none" w:sz="0" w:space="0" w:color="auto"/>
      </w:divBdr>
    </w:div>
    <w:div w:id="268853217">
      <w:bodyDiv w:val="1"/>
      <w:marLeft w:val="0"/>
      <w:marRight w:val="0"/>
      <w:marTop w:val="0"/>
      <w:marBottom w:val="0"/>
      <w:divBdr>
        <w:top w:val="none" w:sz="0" w:space="0" w:color="auto"/>
        <w:left w:val="none" w:sz="0" w:space="0" w:color="auto"/>
        <w:bottom w:val="none" w:sz="0" w:space="0" w:color="auto"/>
        <w:right w:val="none" w:sz="0" w:space="0" w:color="auto"/>
      </w:divBdr>
    </w:div>
    <w:div w:id="336467164">
      <w:bodyDiv w:val="1"/>
      <w:marLeft w:val="0"/>
      <w:marRight w:val="0"/>
      <w:marTop w:val="0"/>
      <w:marBottom w:val="0"/>
      <w:divBdr>
        <w:top w:val="none" w:sz="0" w:space="0" w:color="auto"/>
        <w:left w:val="none" w:sz="0" w:space="0" w:color="auto"/>
        <w:bottom w:val="none" w:sz="0" w:space="0" w:color="auto"/>
        <w:right w:val="none" w:sz="0" w:space="0" w:color="auto"/>
      </w:divBdr>
    </w:div>
    <w:div w:id="337773559">
      <w:bodyDiv w:val="1"/>
      <w:marLeft w:val="0"/>
      <w:marRight w:val="0"/>
      <w:marTop w:val="0"/>
      <w:marBottom w:val="0"/>
      <w:divBdr>
        <w:top w:val="none" w:sz="0" w:space="0" w:color="auto"/>
        <w:left w:val="none" w:sz="0" w:space="0" w:color="auto"/>
        <w:bottom w:val="none" w:sz="0" w:space="0" w:color="auto"/>
        <w:right w:val="none" w:sz="0" w:space="0" w:color="auto"/>
      </w:divBdr>
    </w:div>
    <w:div w:id="338697194">
      <w:bodyDiv w:val="1"/>
      <w:marLeft w:val="0"/>
      <w:marRight w:val="0"/>
      <w:marTop w:val="0"/>
      <w:marBottom w:val="0"/>
      <w:divBdr>
        <w:top w:val="none" w:sz="0" w:space="0" w:color="auto"/>
        <w:left w:val="none" w:sz="0" w:space="0" w:color="auto"/>
        <w:bottom w:val="none" w:sz="0" w:space="0" w:color="auto"/>
        <w:right w:val="none" w:sz="0" w:space="0" w:color="auto"/>
      </w:divBdr>
    </w:div>
    <w:div w:id="376511518">
      <w:bodyDiv w:val="1"/>
      <w:marLeft w:val="0"/>
      <w:marRight w:val="0"/>
      <w:marTop w:val="0"/>
      <w:marBottom w:val="0"/>
      <w:divBdr>
        <w:top w:val="none" w:sz="0" w:space="0" w:color="auto"/>
        <w:left w:val="none" w:sz="0" w:space="0" w:color="auto"/>
        <w:bottom w:val="none" w:sz="0" w:space="0" w:color="auto"/>
        <w:right w:val="none" w:sz="0" w:space="0" w:color="auto"/>
      </w:divBdr>
    </w:div>
    <w:div w:id="397554829">
      <w:bodyDiv w:val="1"/>
      <w:marLeft w:val="0"/>
      <w:marRight w:val="0"/>
      <w:marTop w:val="0"/>
      <w:marBottom w:val="0"/>
      <w:divBdr>
        <w:top w:val="none" w:sz="0" w:space="0" w:color="auto"/>
        <w:left w:val="none" w:sz="0" w:space="0" w:color="auto"/>
        <w:bottom w:val="none" w:sz="0" w:space="0" w:color="auto"/>
        <w:right w:val="none" w:sz="0" w:space="0" w:color="auto"/>
      </w:divBdr>
    </w:div>
    <w:div w:id="410858919">
      <w:bodyDiv w:val="1"/>
      <w:marLeft w:val="0"/>
      <w:marRight w:val="0"/>
      <w:marTop w:val="0"/>
      <w:marBottom w:val="0"/>
      <w:divBdr>
        <w:top w:val="none" w:sz="0" w:space="0" w:color="auto"/>
        <w:left w:val="none" w:sz="0" w:space="0" w:color="auto"/>
        <w:bottom w:val="none" w:sz="0" w:space="0" w:color="auto"/>
        <w:right w:val="none" w:sz="0" w:space="0" w:color="auto"/>
      </w:divBdr>
    </w:div>
    <w:div w:id="426578858">
      <w:bodyDiv w:val="1"/>
      <w:marLeft w:val="0"/>
      <w:marRight w:val="0"/>
      <w:marTop w:val="0"/>
      <w:marBottom w:val="0"/>
      <w:divBdr>
        <w:top w:val="none" w:sz="0" w:space="0" w:color="auto"/>
        <w:left w:val="none" w:sz="0" w:space="0" w:color="auto"/>
        <w:bottom w:val="none" w:sz="0" w:space="0" w:color="auto"/>
        <w:right w:val="none" w:sz="0" w:space="0" w:color="auto"/>
      </w:divBdr>
    </w:div>
    <w:div w:id="462232904">
      <w:bodyDiv w:val="1"/>
      <w:marLeft w:val="0"/>
      <w:marRight w:val="0"/>
      <w:marTop w:val="0"/>
      <w:marBottom w:val="0"/>
      <w:divBdr>
        <w:top w:val="none" w:sz="0" w:space="0" w:color="auto"/>
        <w:left w:val="none" w:sz="0" w:space="0" w:color="auto"/>
        <w:bottom w:val="none" w:sz="0" w:space="0" w:color="auto"/>
        <w:right w:val="none" w:sz="0" w:space="0" w:color="auto"/>
      </w:divBdr>
    </w:div>
    <w:div w:id="478812705">
      <w:bodyDiv w:val="1"/>
      <w:marLeft w:val="0"/>
      <w:marRight w:val="0"/>
      <w:marTop w:val="0"/>
      <w:marBottom w:val="0"/>
      <w:divBdr>
        <w:top w:val="none" w:sz="0" w:space="0" w:color="auto"/>
        <w:left w:val="none" w:sz="0" w:space="0" w:color="auto"/>
        <w:bottom w:val="none" w:sz="0" w:space="0" w:color="auto"/>
        <w:right w:val="none" w:sz="0" w:space="0" w:color="auto"/>
      </w:divBdr>
    </w:div>
    <w:div w:id="514997101">
      <w:bodyDiv w:val="1"/>
      <w:marLeft w:val="0"/>
      <w:marRight w:val="0"/>
      <w:marTop w:val="0"/>
      <w:marBottom w:val="0"/>
      <w:divBdr>
        <w:top w:val="none" w:sz="0" w:space="0" w:color="auto"/>
        <w:left w:val="none" w:sz="0" w:space="0" w:color="auto"/>
        <w:bottom w:val="none" w:sz="0" w:space="0" w:color="auto"/>
        <w:right w:val="none" w:sz="0" w:space="0" w:color="auto"/>
      </w:divBdr>
    </w:div>
    <w:div w:id="532039385">
      <w:bodyDiv w:val="1"/>
      <w:marLeft w:val="0"/>
      <w:marRight w:val="0"/>
      <w:marTop w:val="0"/>
      <w:marBottom w:val="0"/>
      <w:divBdr>
        <w:top w:val="none" w:sz="0" w:space="0" w:color="auto"/>
        <w:left w:val="none" w:sz="0" w:space="0" w:color="auto"/>
        <w:bottom w:val="none" w:sz="0" w:space="0" w:color="auto"/>
        <w:right w:val="none" w:sz="0" w:space="0" w:color="auto"/>
      </w:divBdr>
    </w:div>
    <w:div w:id="541867436">
      <w:bodyDiv w:val="1"/>
      <w:marLeft w:val="0"/>
      <w:marRight w:val="0"/>
      <w:marTop w:val="0"/>
      <w:marBottom w:val="0"/>
      <w:divBdr>
        <w:top w:val="none" w:sz="0" w:space="0" w:color="auto"/>
        <w:left w:val="none" w:sz="0" w:space="0" w:color="auto"/>
        <w:bottom w:val="none" w:sz="0" w:space="0" w:color="auto"/>
        <w:right w:val="none" w:sz="0" w:space="0" w:color="auto"/>
      </w:divBdr>
    </w:div>
    <w:div w:id="560098542">
      <w:bodyDiv w:val="1"/>
      <w:marLeft w:val="0"/>
      <w:marRight w:val="0"/>
      <w:marTop w:val="0"/>
      <w:marBottom w:val="0"/>
      <w:divBdr>
        <w:top w:val="none" w:sz="0" w:space="0" w:color="auto"/>
        <w:left w:val="none" w:sz="0" w:space="0" w:color="auto"/>
        <w:bottom w:val="none" w:sz="0" w:space="0" w:color="auto"/>
        <w:right w:val="none" w:sz="0" w:space="0" w:color="auto"/>
      </w:divBdr>
    </w:div>
    <w:div w:id="582446390">
      <w:bodyDiv w:val="1"/>
      <w:marLeft w:val="0"/>
      <w:marRight w:val="0"/>
      <w:marTop w:val="0"/>
      <w:marBottom w:val="0"/>
      <w:divBdr>
        <w:top w:val="none" w:sz="0" w:space="0" w:color="auto"/>
        <w:left w:val="none" w:sz="0" w:space="0" w:color="auto"/>
        <w:bottom w:val="none" w:sz="0" w:space="0" w:color="auto"/>
        <w:right w:val="none" w:sz="0" w:space="0" w:color="auto"/>
      </w:divBdr>
    </w:div>
    <w:div w:id="584538941">
      <w:bodyDiv w:val="1"/>
      <w:marLeft w:val="0"/>
      <w:marRight w:val="0"/>
      <w:marTop w:val="0"/>
      <w:marBottom w:val="0"/>
      <w:divBdr>
        <w:top w:val="none" w:sz="0" w:space="0" w:color="auto"/>
        <w:left w:val="none" w:sz="0" w:space="0" w:color="auto"/>
        <w:bottom w:val="none" w:sz="0" w:space="0" w:color="auto"/>
        <w:right w:val="none" w:sz="0" w:space="0" w:color="auto"/>
      </w:divBdr>
    </w:div>
    <w:div w:id="587421828">
      <w:bodyDiv w:val="1"/>
      <w:marLeft w:val="0"/>
      <w:marRight w:val="0"/>
      <w:marTop w:val="0"/>
      <w:marBottom w:val="0"/>
      <w:divBdr>
        <w:top w:val="none" w:sz="0" w:space="0" w:color="auto"/>
        <w:left w:val="none" w:sz="0" w:space="0" w:color="auto"/>
        <w:bottom w:val="none" w:sz="0" w:space="0" w:color="auto"/>
        <w:right w:val="none" w:sz="0" w:space="0" w:color="auto"/>
      </w:divBdr>
    </w:div>
    <w:div w:id="602541709">
      <w:bodyDiv w:val="1"/>
      <w:marLeft w:val="0"/>
      <w:marRight w:val="0"/>
      <w:marTop w:val="0"/>
      <w:marBottom w:val="0"/>
      <w:divBdr>
        <w:top w:val="none" w:sz="0" w:space="0" w:color="auto"/>
        <w:left w:val="none" w:sz="0" w:space="0" w:color="auto"/>
        <w:bottom w:val="none" w:sz="0" w:space="0" w:color="auto"/>
        <w:right w:val="none" w:sz="0" w:space="0" w:color="auto"/>
      </w:divBdr>
    </w:div>
    <w:div w:id="633676205">
      <w:bodyDiv w:val="1"/>
      <w:marLeft w:val="0"/>
      <w:marRight w:val="0"/>
      <w:marTop w:val="0"/>
      <w:marBottom w:val="0"/>
      <w:divBdr>
        <w:top w:val="none" w:sz="0" w:space="0" w:color="auto"/>
        <w:left w:val="none" w:sz="0" w:space="0" w:color="auto"/>
        <w:bottom w:val="none" w:sz="0" w:space="0" w:color="auto"/>
        <w:right w:val="none" w:sz="0" w:space="0" w:color="auto"/>
      </w:divBdr>
    </w:div>
    <w:div w:id="695274247">
      <w:bodyDiv w:val="1"/>
      <w:marLeft w:val="0"/>
      <w:marRight w:val="0"/>
      <w:marTop w:val="0"/>
      <w:marBottom w:val="0"/>
      <w:divBdr>
        <w:top w:val="none" w:sz="0" w:space="0" w:color="auto"/>
        <w:left w:val="none" w:sz="0" w:space="0" w:color="auto"/>
        <w:bottom w:val="none" w:sz="0" w:space="0" w:color="auto"/>
        <w:right w:val="none" w:sz="0" w:space="0" w:color="auto"/>
      </w:divBdr>
      <w:divsChild>
        <w:div w:id="511992183">
          <w:marLeft w:val="0"/>
          <w:marRight w:val="0"/>
          <w:marTop w:val="0"/>
          <w:marBottom w:val="0"/>
          <w:divBdr>
            <w:top w:val="none" w:sz="0" w:space="0" w:color="auto"/>
            <w:left w:val="none" w:sz="0" w:space="0" w:color="auto"/>
            <w:bottom w:val="none" w:sz="0" w:space="0" w:color="auto"/>
            <w:right w:val="none" w:sz="0" w:space="0" w:color="auto"/>
          </w:divBdr>
          <w:divsChild>
            <w:div w:id="1903636774">
              <w:marLeft w:val="0"/>
              <w:marRight w:val="0"/>
              <w:marTop w:val="0"/>
              <w:marBottom w:val="0"/>
              <w:divBdr>
                <w:top w:val="none" w:sz="0" w:space="0" w:color="auto"/>
                <w:left w:val="none" w:sz="0" w:space="0" w:color="auto"/>
                <w:bottom w:val="none" w:sz="0" w:space="0" w:color="auto"/>
                <w:right w:val="none" w:sz="0" w:space="0" w:color="auto"/>
              </w:divBdr>
            </w:div>
          </w:divsChild>
        </w:div>
        <w:div w:id="831944775">
          <w:marLeft w:val="0"/>
          <w:marRight w:val="0"/>
          <w:marTop w:val="0"/>
          <w:marBottom w:val="0"/>
          <w:divBdr>
            <w:top w:val="none" w:sz="0" w:space="0" w:color="auto"/>
            <w:left w:val="none" w:sz="0" w:space="0" w:color="auto"/>
            <w:bottom w:val="none" w:sz="0" w:space="0" w:color="auto"/>
            <w:right w:val="none" w:sz="0" w:space="0" w:color="auto"/>
          </w:divBdr>
          <w:divsChild>
            <w:div w:id="1101682685">
              <w:marLeft w:val="0"/>
              <w:marRight w:val="0"/>
              <w:marTop w:val="0"/>
              <w:marBottom w:val="0"/>
              <w:divBdr>
                <w:top w:val="none" w:sz="0" w:space="0" w:color="auto"/>
                <w:left w:val="none" w:sz="0" w:space="0" w:color="auto"/>
                <w:bottom w:val="none" w:sz="0" w:space="0" w:color="auto"/>
                <w:right w:val="none" w:sz="0" w:space="0" w:color="auto"/>
              </w:divBdr>
              <w:divsChild>
                <w:div w:id="53551171">
                  <w:marLeft w:val="0"/>
                  <w:marRight w:val="0"/>
                  <w:marTop w:val="0"/>
                  <w:marBottom w:val="0"/>
                  <w:divBdr>
                    <w:top w:val="none" w:sz="0" w:space="0" w:color="auto"/>
                    <w:left w:val="none" w:sz="0" w:space="0" w:color="auto"/>
                    <w:bottom w:val="none" w:sz="0" w:space="0" w:color="auto"/>
                    <w:right w:val="none" w:sz="0" w:space="0" w:color="auto"/>
                  </w:divBdr>
                  <w:divsChild>
                    <w:div w:id="3232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17273">
      <w:bodyDiv w:val="1"/>
      <w:marLeft w:val="0"/>
      <w:marRight w:val="0"/>
      <w:marTop w:val="0"/>
      <w:marBottom w:val="0"/>
      <w:divBdr>
        <w:top w:val="none" w:sz="0" w:space="0" w:color="auto"/>
        <w:left w:val="none" w:sz="0" w:space="0" w:color="auto"/>
        <w:bottom w:val="none" w:sz="0" w:space="0" w:color="auto"/>
        <w:right w:val="none" w:sz="0" w:space="0" w:color="auto"/>
      </w:divBdr>
    </w:div>
    <w:div w:id="755589318">
      <w:bodyDiv w:val="1"/>
      <w:marLeft w:val="0"/>
      <w:marRight w:val="0"/>
      <w:marTop w:val="0"/>
      <w:marBottom w:val="0"/>
      <w:divBdr>
        <w:top w:val="none" w:sz="0" w:space="0" w:color="auto"/>
        <w:left w:val="none" w:sz="0" w:space="0" w:color="auto"/>
        <w:bottom w:val="none" w:sz="0" w:space="0" w:color="auto"/>
        <w:right w:val="none" w:sz="0" w:space="0" w:color="auto"/>
      </w:divBdr>
    </w:div>
    <w:div w:id="772826618">
      <w:bodyDiv w:val="1"/>
      <w:marLeft w:val="0"/>
      <w:marRight w:val="0"/>
      <w:marTop w:val="0"/>
      <w:marBottom w:val="0"/>
      <w:divBdr>
        <w:top w:val="none" w:sz="0" w:space="0" w:color="auto"/>
        <w:left w:val="none" w:sz="0" w:space="0" w:color="auto"/>
        <w:bottom w:val="none" w:sz="0" w:space="0" w:color="auto"/>
        <w:right w:val="none" w:sz="0" w:space="0" w:color="auto"/>
      </w:divBdr>
    </w:div>
    <w:div w:id="876284804">
      <w:bodyDiv w:val="1"/>
      <w:marLeft w:val="0"/>
      <w:marRight w:val="0"/>
      <w:marTop w:val="0"/>
      <w:marBottom w:val="0"/>
      <w:divBdr>
        <w:top w:val="none" w:sz="0" w:space="0" w:color="auto"/>
        <w:left w:val="none" w:sz="0" w:space="0" w:color="auto"/>
        <w:bottom w:val="none" w:sz="0" w:space="0" w:color="auto"/>
        <w:right w:val="none" w:sz="0" w:space="0" w:color="auto"/>
      </w:divBdr>
    </w:div>
    <w:div w:id="978846146">
      <w:bodyDiv w:val="1"/>
      <w:marLeft w:val="0"/>
      <w:marRight w:val="0"/>
      <w:marTop w:val="0"/>
      <w:marBottom w:val="0"/>
      <w:divBdr>
        <w:top w:val="none" w:sz="0" w:space="0" w:color="auto"/>
        <w:left w:val="none" w:sz="0" w:space="0" w:color="auto"/>
        <w:bottom w:val="none" w:sz="0" w:space="0" w:color="auto"/>
        <w:right w:val="none" w:sz="0" w:space="0" w:color="auto"/>
      </w:divBdr>
    </w:div>
    <w:div w:id="979964779">
      <w:bodyDiv w:val="1"/>
      <w:marLeft w:val="0"/>
      <w:marRight w:val="0"/>
      <w:marTop w:val="0"/>
      <w:marBottom w:val="0"/>
      <w:divBdr>
        <w:top w:val="none" w:sz="0" w:space="0" w:color="auto"/>
        <w:left w:val="none" w:sz="0" w:space="0" w:color="auto"/>
        <w:bottom w:val="none" w:sz="0" w:space="0" w:color="auto"/>
        <w:right w:val="none" w:sz="0" w:space="0" w:color="auto"/>
      </w:divBdr>
    </w:div>
    <w:div w:id="1045763244">
      <w:bodyDiv w:val="1"/>
      <w:marLeft w:val="0"/>
      <w:marRight w:val="0"/>
      <w:marTop w:val="0"/>
      <w:marBottom w:val="0"/>
      <w:divBdr>
        <w:top w:val="none" w:sz="0" w:space="0" w:color="auto"/>
        <w:left w:val="none" w:sz="0" w:space="0" w:color="auto"/>
        <w:bottom w:val="none" w:sz="0" w:space="0" w:color="auto"/>
        <w:right w:val="none" w:sz="0" w:space="0" w:color="auto"/>
      </w:divBdr>
    </w:div>
    <w:div w:id="1121456608">
      <w:bodyDiv w:val="1"/>
      <w:marLeft w:val="0"/>
      <w:marRight w:val="0"/>
      <w:marTop w:val="0"/>
      <w:marBottom w:val="0"/>
      <w:divBdr>
        <w:top w:val="none" w:sz="0" w:space="0" w:color="auto"/>
        <w:left w:val="none" w:sz="0" w:space="0" w:color="auto"/>
        <w:bottom w:val="none" w:sz="0" w:space="0" w:color="auto"/>
        <w:right w:val="none" w:sz="0" w:space="0" w:color="auto"/>
      </w:divBdr>
    </w:div>
    <w:div w:id="1183936852">
      <w:bodyDiv w:val="1"/>
      <w:marLeft w:val="0"/>
      <w:marRight w:val="0"/>
      <w:marTop w:val="0"/>
      <w:marBottom w:val="0"/>
      <w:divBdr>
        <w:top w:val="none" w:sz="0" w:space="0" w:color="auto"/>
        <w:left w:val="none" w:sz="0" w:space="0" w:color="auto"/>
        <w:bottom w:val="none" w:sz="0" w:space="0" w:color="auto"/>
        <w:right w:val="none" w:sz="0" w:space="0" w:color="auto"/>
      </w:divBdr>
    </w:div>
    <w:div w:id="1217353732">
      <w:bodyDiv w:val="1"/>
      <w:marLeft w:val="0"/>
      <w:marRight w:val="0"/>
      <w:marTop w:val="0"/>
      <w:marBottom w:val="0"/>
      <w:divBdr>
        <w:top w:val="none" w:sz="0" w:space="0" w:color="auto"/>
        <w:left w:val="none" w:sz="0" w:space="0" w:color="auto"/>
        <w:bottom w:val="none" w:sz="0" w:space="0" w:color="auto"/>
        <w:right w:val="none" w:sz="0" w:space="0" w:color="auto"/>
      </w:divBdr>
    </w:div>
    <w:div w:id="1257597277">
      <w:bodyDiv w:val="1"/>
      <w:marLeft w:val="0"/>
      <w:marRight w:val="0"/>
      <w:marTop w:val="0"/>
      <w:marBottom w:val="0"/>
      <w:divBdr>
        <w:top w:val="none" w:sz="0" w:space="0" w:color="auto"/>
        <w:left w:val="none" w:sz="0" w:space="0" w:color="auto"/>
        <w:bottom w:val="none" w:sz="0" w:space="0" w:color="auto"/>
        <w:right w:val="none" w:sz="0" w:space="0" w:color="auto"/>
      </w:divBdr>
    </w:div>
    <w:div w:id="1268848944">
      <w:bodyDiv w:val="1"/>
      <w:marLeft w:val="0"/>
      <w:marRight w:val="0"/>
      <w:marTop w:val="0"/>
      <w:marBottom w:val="0"/>
      <w:divBdr>
        <w:top w:val="none" w:sz="0" w:space="0" w:color="auto"/>
        <w:left w:val="none" w:sz="0" w:space="0" w:color="auto"/>
        <w:bottom w:val="none" w:sz="0" w:space="0" w:color="auto"/>
        <w:right w:val="none" w:sz="0" w:space="0" w:color="auto"/>
      </w:divBdr>
    </w:div>
    <w:div w:id="1288505732">
      <w:bodyDiv w:val="1"/>
      <w:marLeft w:val="0"/>
      <w:marRight w:val="0"/>
      <w:marTop w:val="0"/>
      <w:marBottom w:val="0"/>
      <w:divBdr>
        <w:top w:val="none" w:sz="0" w:space="0" w:color="auto"/>
        <w:left w:val="none" w:sz="0" w:space="0" w:color="auto"/>
        <w:bottom w:val="none" w:sz="0" w:space="0" w:color="auto"/>
        <w:right w:val="none" w:sz="0" w:space="0" w:color="auto"/>
      </w:divBdr>
    </w:div>
    <w:div w:id="1365402895">
      <w:bodyDiv w:val="1"/>
      <w:marLeft w:val="0"/>
      <w:marRight w:val="0"/>
      <w:marTop w:val="0"/>
      <w:marBottom w:val="0"/>
      <w:divBdr>
        <w:top w:val="none" w:sz="0" w:space="0" w:color="auto"/>
        <w:left w:val="none" w:sz="0" w:space="0" w:color="auto"/>
        <w:bottom w:val="none" w:sz="0" w:space="0" w:color="auto"/>
        <w:right w:val="none" w:sz="0" w:space="0" w:color="auto"/>
      </w:divBdr>
    </w:div>
    <w:div w:id="1376664483">
      <w:bodyDiv w:val="1"/>
      <w:marLeft w:val="0"/>
      <w:marRight w:val="0"/>
      <w:marTop w:val="0"/>
      <w:marBottom w:val="0"/>
      <w:divBdr>
        <w:top w:val="none" w:sz="0" w:space="0" w:color="auto"/>
        <w:left w:val="none" w:sz="0" w:space="0" w:color="auto"/>
        <w:bottom w:val="none" w:sz="0" w:space="0" w:color="auto"/>
        <w:right w:val="none" w:sz="0" w:space="0" w:color="auto"/>
      </w:divBdr>
    </w:div>
    <w:div w:id="1384913239">
      <w:bodyDiv w:val="1"/>
      <w:marLeft w:val="0"/>
      <w:marRight w:val="0"/>
      <w:marTop w:val="0"/>
      <w:marBottom w:val="0"/>
      <w:divBdr>
        <w:top w:val="none" w:sz="0" w:space="0" w:color="auto"/>
        <w:left w:val="none" w:sz="0" w:space="0" w:color="auto"/>
        <w:bottom w:val="none" w:sz="0" w:space="0" w:color="auto"/>
        <w:right w:val="none" w:sz="0" w:space="0" w:color="auto"/>
      </w:divBdr>
    </w:div>
    <w:div w:id="1386490672">
      <w:bodyDiv w:val="1"/>
      <w:marLeft w:val="0"/>
      <w:marRight w:val="0"/>
      <w:marTop w:val="0"/>
      <w:marBottom w:val="0"/>
      <w:divBdr>
        <w:top w:val="none" w:sz="0" w:space="0" w:color="auto"/>
        <w:left w:val="none" w:sz="0" w:space="0" w:color="auto"/>
        <w:bottom w:val="none" w:sz="0" w:space="0" w:color="auto"/>
        <w:right w:val="none" w:sz="0" w:space="0" w:color="auto"/>
      </w:divBdr>
    </w:div>
    <w:div w:id="1446777734">
      <w:bodyDiv w:val="1"/>
      <w:marLeft w:val="0"/>
      <w:marRight w:val="0"/>
      <w:marTop w:val="0"/>
      <w:marBottom w:val="0"/>
      <w:divBdr>
        <w:top w:val="none" w:sz="0" w:space="0" w:color="auto"/>
        <w:left w:val="none" w:sz="0" w:space="0" w:color="auto"/>
        <w:bottom w:val="none" w:sz="0" w:space="0" w:color="auto"/>
        <w:right w:val="none" w:sz="0" w:space="0" w:color="auto"/>
      </w:divBdr>
    </w:div>
    <w:div w:id="1450783499">
      <w:bodyDiv w:val="1"/>
      <w:marLeft w:val="0"/>
      <w:marRight w:val="0"/>
      <w:marTop w:val="0"/>
      <w:marBottom w:val="0"/>
      <w:divBdr>
        <w:top w:val="none" w:sz="0" w:space="0" w:color="auto"/>
        <w:left w:val="none" w:sz="0" w:space="0" w:color="auto"/>
        <w:bottom w:val="none" w:sz="0" w:space="0" w:color="auto"/>
        <w:right w:val="none" w:sz="0" w:space="0" w:color="auto"/>
      </w:divBdr>
    </w:div>
    <w:div w:id="1471172328">
      <w:bodyDiv w:val="1"/>
      <w:marLeft w:val="0"/>
      <w:marRight w:val="0"/>
      <w:marTop w:val="0"/>
      <w:marBottom w:val="0"/>
      <w:divBdr>
        <w:top w:val="none" w:sz="0" w:space="0" w:color="auto"/>
        <w:left w:val="none" w:sz="0" w:space="0" w:color="auto"/>
        <w:bottom w:val="none" w:sz="0" w:space="0" w:color="auto"/>
        <w:right w:val="none" w:sz="0" w:space="0" w:color="auto"/>
      </w:divBdr>
    </w:div>
    <w:div w:id="1472407106">
      <w:bodyDiv w:val="1"/>
      <w:marLeft w:val="0"/>
      <w:marRight w:val="0"/>
      <w:marTop w:val="0"/>
      <w:marBottom w:val="0"/>
      <w:divBdr>
        <w:top w:val="none" w:sz="0" w:space="0" w:color="auto"/>
        <w:left w:val="none" w:sz="0" w:space="0" w:color="auto"/>
        <w:bottom w:val="none" w:sz="0" w:space="0" w:color="auto"/>
        <w:right w:val="none" w:sz="0" w:space="0" w:color="auto"/>
      </w:divBdr>
    </w:div>
    <w:div w:id="1478303993">
      <w:bodyDiv w:val="1"/>
      <w:marLeft w:val="0"/>
      <w:marRight w:val="0"/>
      <w:marTop w:val="0"/>
      <w:marBottom w:val="0"/>
      <w:divBdr>
        <w:top w:val="none" w:sz="0" w:space="0" w:color="auto"/>
        <w:left w:val="none" w:sz="0" w:space="0" w:color="auto"/>
        <w:bottom w:val="none" w:sz="0" w:space="0" w:color="auto"/>
        <w:right w:val="none" w:sz="0" w:space="0" w:color="auto"/>
      </w:divBdr>
    </w:div>
    <w:div w:id="1498498844">
      <w:bodyDiv w:val="1"/>
      <w:marLeft w:val="0"/>
      <w:marRight w:val="0"/>
      <w:marTop w:val="0"/>
      <w:marBottom w:val="0"/>
      <w:divBdr>
        <w:top w:val="none" w:sz="0" w:space="0" w:color="auto"/>
        <w:left w:val="none" w:sz="0" w:space="0" w:color="auto"/>
        <w:bottom w:val="none" w:sz="0" w:space="0" w:color="auto"/>
        <w:right w:val="none" w:sz="0" w:space="0" w:color="auto"/>
      </w:divBdr>
    </w:div>
    <w:div w:id="1625310723">
      <w:bodyDiv w:val="1"/>
      <w:marLeft w:val="0"/>
      <w:marRight w:val="0"/>
      <w:marTop w:val="0"/>
      <w:marBottom w:val="0"/>
      <w:divBdr>
        <w:top w:val="none" w:sz="0" w:space="0" w:color="auto"/>
        <w:left w:val="none" w:sz="0" w:space="0" w:color="auto"/>
        <w:bottom w:val="none" w:sz="0" w:space="0" w:color="auto"/>
        <w:right w:val="none" w:sz="0" w:space="0" w:color="auto"/>
      </w:divBdr>
    </w:div>
    <w:div w:id="1645818973">
      <w:bodyDiv w:val="1"/>
      <w:marLeft w:val="0"/>
      <w:marRight w:val="0"/>
      <w:marTop w:val="0"/>
      <w:marBottom w:val="0"/>
      <w:divBdr>
        <w:top w:val="none" w:sz="0" w:space="0" w:color="auto"/>
        <w:left w:val="none" w:sz="0" w:space="0" w:color="auto"/>
        <w:bottom w:val="none" w:sz="0" w:space="0" w:color="auto"/>
        <w:right w:val="none" w:sz="0" w:space="0" w:color="auto"/>
      </w:divBdr>
    </w:div>
    <w:div w:id="1668944397">
      <w:bodyDiv w:val="1"/>
      <w:marLeft w:val="0"/>
      <w:marRight w:val="0"/>
      <w:marTop w:val="0"/>
      <w:marBottom w:val="0"/>
      <w:divBdr>
        <w:top w:val="none" w:sz="0" w:space="0" w:color="auto"/>
        <w:left w:val="none" w:sz="0" w:space="0" w:color="auto"/>
        <w:bottom w:val="none" w:sz="0" w:space="0" w:color="auto"/>
        <w:right w:val="none" w:sz="0" w:space="0" w:color="auto"/>
      </w:divBdr>
    </w:div>
    <w:div w:id="1691445530">
      <w:bodyDiv w:val="1"/>
      <w:marLeft w:val="0"/>
      <w:marRight w:val="0"/>
      <w:marTop w:val="0"/>
      <w:marBottom w:val="0"/>
      <w:divBdr>
        <w:top w:val="none" w:sz="0" w:space="0" w:color="auto"/>
        <w:left w:val="none" w:sz="0" w:space="0" w:color="auto"/>
        <w:bottom w:val="none" w:sz="0" w:space="0" w:color="auto"/>
        <w:right w:val="none" w:sz="0" w:space="0" w:color="auto"/>
      </w:divBdr>
    </w:div>
    <w:div w:id="1783770261">
      <w:bodyDiv w:val="1"/>
      <w:marLeft w:val="0"/>
      <w:marRight w:val="0"/>
      <w:marTop w:val="0"/>
      <w:marBottom w:val="0"/>
      <w:divBdr>
        <w:top w:val="none" w:sz="0" w:space="0" w:color="auto"/>
        <w:left w:val="none" w:sz="0" w:space="0" w:color="auto"/>
        <w:bottom w:val="none" w:sz="0" w:space="0" w:color="auto"/>
        <w:right w:val="none" w:sz="0" w:space="0" w:color="auto"/>
      </w:divBdr>
    </w:div>
    <w:div w:id="1871722938">
      <w:bodyDiv w:val="1"/>
      <w:marLeft w:val="0"/>
      <w:marRight w:val="0"/>
      <w:marTop w:val="0"/>
      <w:marBottom w:val="0"/>
      <w:divBdr>
        <w:top w:val="none" w:sz="0" w:space="0" w:color="auto"/>
        <w:left w:val="none" w:sz="0" w:space="0" w:color="auto"/>
        <w:bottom w:val="none" w:sz="0" w:space="0" w:color="auto"/>
        <w:right w:val="none" w:sz="0" w:space="0" w:color="auto"/>
      </w:divBdr>
    </w:div>
    <w:div w:id="1893423216">
      <w:bodyDiv w:val="1"/>
      <w:marLeft w:val="0"/>
      <w:marRight w:val="0"/>
      <w:marTop w:val="0"/>
      <w:marBottom w:val="0"/>
      <w:divBdr>
        <w:top w:val="none" w:sz="0" w:space="0" w:color="auto"/>
        <w:left w:val="none" w:sz="0" w:space="0" w:color="auto"/>
        <w:bottom w:val="none" w:sz="0" w:space="0" w:color="auto"/>
        <w:right w:val="none" w:sz="0" w:space="0" w:color="auto"/>
      </w:divBdr>
    </w:div>
    <w:div w:id="1897818958">
      <w:bodyDiv w:val="1"/>
      <w:marLeft w:val="0"/>
      <w:marRight w:val="0"/>
      <w:marTop w:val="0"/>
      <w:marBottom w:val="0"/>
      <w:divBdr>
        <w:top w:val="none" w:sz="0" w:space="0" w:color="auto"/>
        <w:left w:val="none" w:sz="0" w:space="0" w:color="auto"/>
        <w:bottom w:val="none" w:sz="0" w:space="0" w:color="auto"/>
        <w:right w:val="none" w:sz="0" w:space="0" w:color="auto"/>
      </w:divBdr>
    </w:div>
    <w:div w:id="1937519715">
      <w:bodyDiv w:val="1"/>
      <w:marLeft w:val="0"/>
      <w:marRight w:val="0"/>
      <w:marTop w:val="0"/>
      <w:marBottom w:val="0"/>
      <w:divBdr>
        <w:top w:val="none" w:sz="0" w:space="0" w:color="auto"/>
        <w:left w:val="none" w:sz="0" w:space="0" w:color="auto"/>
        <w:bottom w:val="none" w:sz="0" w:space="0" w:color="auto"/>
        <w:right w:val="none" w:sz="0" w:space="0" w:color="auto"/>
      </w:divBdr>
    </w:div>
    <w:div w:id="2011365965">
      <w:bodyDiv w:val="1"/>
      <w:marLeft w:val="0"/>
      <w:marRight w:val="0"/>
      <w:marTop w:val="0"/>
      <w:marBottom w:val="0"/>
      <w:divBdr>
        <w:top w:val="none" w:sz="0" w:space="0" w:color="auto"/>
        <w:left w:val="none" w:sz="0" w:space="0" w:color="auto"/>
        <w:bottom w:val="none" w:sz="0" w:space="0" w:color="auto"/>
        <w:right w:val="none" w:sz="0" w:space="0" w:color="auto"/>
      </w:divBdr>
    </w:div>
    <w:div w:id="2125538262">
      <w:bodyDiv w:val="1"/>
      <w:marLeft w:val="0"/>
      <w:marRight w:val="0"/>
      <w:marTop w:val="0"/>
      <w:marBottom w:val="0"/>
      <w:divBdr>
        <w:top w:val="none" w:sz="0" w:space="0" w:color="auto"/>
        <w:left w:val="none" w:sz="0" w:space="0" w:color="auto"/>
        <w:bottom w:val="none" w:sz="0" w:space="0" w:color="auto"/>
        <w:right w:val="none" w:sz="0" w:space="0" w:color="auto"/>
      </w:divBdr>
    </w:div>
    <w:div w:id="21341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ukzn.ac.za/owa/redir.aspx?C=AwLXBrLyLkaSljc93LS0hIsysSkMm9AIH1Zj7zU9Ztp6Ojx8Uk_YJ5czdxyIK8PjOf8P60oOjO4.&amp;URL=mailto%3algaigher%40juta.co.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4020</Words>
  <Characters>22915</Characters>
  <Application>Microsoft Office Word</Application>
  <DocSecurity>0</DocSecurity>
  <Lines>190</Lines>
  <Paragraphs>53</Paragraphs>
  <ScaleCrop>false</ScaleCrop>
  <Company/>
  <LinksUpToDate>false</LinksUpToDate>
  <CharactersWithSpaces>26882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MakanP</cp:lastModifiedBy>
  <cp:revision>3</cp:revision>
  <cp:lastPrinted>2014-07-17T10:26:00Z</cp:lastPrinted>
  <dcterms:created xsi:type="dcterms:W3CDTF">2015-07-31T08:27:00Z</dcterms:created>
  <dcterms:modified xsi:type="dcterms:W3CDTF">2015-07-31T08:28:00Z</dcterms:modified>
</cp:coreProperties>
</file>