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674941" w:rsidRDefault="00C62208" w:rsidP="008A6FFE">
      <w:pPr>
        <w:pStyle w:val="Heading1"/>
        <w:rPr>
          <w:b w:val="0"/>
          <w:color w:val="auto"/>
          <w:lang w:val="en-ZA"/>
        </w:rPr>
      </w:pPr>
      <w:r w:rsidRPr="0067494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74941" w:rsidRDefault="008A6FFE" w:rsidP="006E6D27">
      <w:pPr>
        <w:pStyle w:val="LegText"/>
      </w:pPr>
    </w:p>
    <w:p w:rsidR="001D0844" w:rsidRPr="00674941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74941">
        <w:rPr>
          <w:rFonts w:ascii="Verdana" w:hAnsi="Verdana"/>
          <w:color w:val="auto"/>
          <w:lang w:val="en-ZA"/>
        </w:rPr>
        <w:t>JUTA'S WEEKLY STATUTES BULLETIN</w:t>
      </w:r>
    </w:p>
    <w:p w:rsidR="008A6FFE" w:rsidRPr="00674941" w:rsidRDefault="008A6FFE" w:rsidP="008A6FFE">
      <w:pPr>
        <w:pStyle w:val="LegHeadCenteredItalic"/>
      </w:pPr>
      <w:r w:rsidRPr="00674941">
        <w:t xml:space="preserve">(Bulletin </w:t>
      </w:r>
      <w:r w:rsidR="00500AC0">
        <w:t>6</w:t>
      </w:r>
      <w:r w:rsidR="00700CDA" w:rsidRPr="00674941">
        <w:t xml:space="preserve"> </w:t>
      </w:r>
      <w:r w:rsidRPr="00674941">
        <w:t>of 201</w:t>
      </w:r>
      <w:r w:rsidR="00754FA1" w:rsidRPr="00674941">
        <w:t>5</w:t>
      </w:r>
      <w:r w:rsidRPr="00674941">
        <w:t xml:space="preserve">, based on Gazettes received during the week </w:t>
      </w:r>
      <w:r w:rsidR="00EC5200">
        <w:t xml:space="preserve">30 </w:t>
      </w:r>
      <w:r w:rsidR="00754FA1" w:rsidRPr="00674941">
        <w:t xml:space="preserve">January </w:t>
      </w:r>
      <w:r w:rsidR="00500AC0">
        <w:t>to 6 February </w:t>
      </w:r>
      <w:r w:rsidR="00754FA1" w:rsidRPr="00674941">
        <w:t>2015</w:t>
      </w:r>
      <w:r w:rsidRPr="00674941">
        <w:t>)</w:t>
      </w:r>
    </w:p>
    <w:p w:rsidR="001D0844" w:rsidRPr="00674941" w:rsidRDefault="001D0844" w:rsidP="00232829">
      <w:pPr>
        <w:pStyle w:val="LegHeadCenteredBold"/>
      </w:pPr>
      <w:r w:rsidRPr="00674941">
        <w:t>JUTA'S WEEKLY E-MAIL SERVICE</w:t>
      </w:r>
    </w:p>
    <w:p w:rsidR="008A6FFE" w:rsidRPr="00674941" w:rsidRDefault="008A6FFE" w:rsidP="008A6FFE">
      <w:pPr>
        <w:pStyle w:val="LegHeadCenteredItalic"/>
      </w:pPr>
      <w:r w:rsidRPr="00674941">
        <w:t>ISSN 1022 - 6397</w:t>
      </w:r>
    </w:p>
    <w:p w:rsidR="00B80D2D" w:rsidRPr="00500AC0" w:rsidRDefault="00B80D2D" w:rsidP="00232829">
      <w:pPr>
        <w:pStyle w:val="LegHeadCenteredBold"/>
      </w:pPr>
      <w:r w:rsidRPr="00500AC0">
        <w:t>PROCLAMATIONS AND NOTICES</w:t>
      </w:r>
    </w:p>
    <w:p w:rsidR="003114BA" w:rsidRDefault="003114BA" w:rsidP="003114BA">
      <w:pPr>
        <w:pStyle w:val="LegHeadBold"/>
      </w:pPr>
      <w:r>
        <w:t>FERTILIZERS, FARM FEEDS, AGRICULTURAL REMEDIES AND STOCK REMEDIES ACT 36 OF 1947</w:t>
      </w:r>
    </w:p>
    <w:p w:rsidR="003114BA" w:rsidRDefault="003114BA" w:rsidP="003114BA">
      <w:pPr>
        <w:pStyle w:val="LegText"/>
      </w:pPr>
      <w:r>
        <w:t xml:space="preserve">Regulations relating to fertilizers, farm feeds, agricultural remedies, stock remedies, sterilising plants and pest control operators, appeals and imports: Proposed amendment to tariffs published for comment (GN 78 in </w:t>
      </w:r>
      <w:r w:rsidRPr="00FF5569">
        <w:rPr>
          <w:i/>
        </w:rPr>
        <w:t>GG</w:t>
      </w:r>
      <w:r>
        <w:t xml:space="preserve"> 38455 of 6 February 2015) (p3)</w:t>
      </w:r>
    </w:p>
    <w:p w:rsidR="00C454D1" w:rsidRDefault="00C454D1" w:rsidP="003114BA">
      <w:pPr>
        <w:pStyle w:val="LegHeadBold"/>
      </w:pPr>
      <w:r w:rsidRPr="00C454D1">
        <w:t>INCOME TAX ACT 58 OF 1962</w:t>
      </w:r>
    </w:p>
    <w:p w:rsidR="00C454D1" w:rsidRDefault="00C454D1" w:rsidP="00C454D1">
      <w:pPr>
        <w:pStyle w:val="LegText"/>
      </w:pPr>
      <w:r w:rsidRPr="005724A7">
        <w:t>Protocol amending the agreement between the Government of the Republic of South Africa and the Government of</w:t>
      </w:r>
      <w:r>
        <w:t xml:space="preserve"> the Republic of </w:t>
      </w:r>
      <w:r w:rsidRPr="005724A7">
        <w:t>India for the avoidance of double taxation and the prevention of fiscal evasion with respect to taxes on income</w:t>
      </w:r>
      <w:r>
        <w:t xml:space="preserve"> published with effect from 26 November 2014 (GN 60 in </w:t>
      </w:r>
      <w:r w:rsidRPr="00FF5569">
        <w:rPr>
          <w:i/>
        </w:rPr>
        <w:t>GG</w:t>
      </w:r>
      <w:r>
        <w:t xml:space="preserve"> </w:t>
      </w:r>
      <w:r w:rsidRPr="005724A7">
        <w:t>38440</w:t>
      </w:r>
      <w:r>
        <w:t xml:space="preserve"> of </w:t>
      </w:r>
      <w:r w:rsidR="006B70F4">
        <w:t xml:space="preserve">3 February </w:t>
      </w:r>
      <w:r>
        <w:t>20</w:t>
      </w:r>
      <w:r w:rsidRPr="00C454D1">
        <w:t>15</w:t>
      </w:r>
      <w:r>
        <w:t>) (p2)</w:t>
      </w:r>
    </w:p>
    <w:p w:rsidR="0061020B" w:rsidRDefault="0061020B" w:rsidP="00467D07">
      <w:pPr>
        <w:pStyle w:val="LegHeadBold"/>
      </w:pPr>
      <w:r w:rsidRPr="0061020B">
        <w:t>CUSTOMS AND EXCISE ACT 91 OF 1964</w:t>
      </w:r>
    </w:p>
    <w:p w:rsidR="0061020B" w:rsidRDefault="0061020B" w:rsidP="0061020B">
      <w:pPr>
        <w:pStyle w:val="LegText"/>
      </w:pPr>
      <w:r>
        <w:t xml:space="preserve">Schedule 1 amended (GN Rs 67-69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38442 of 6 February 2015</w:t>
      </w:r>
      <w:r>
        <w:t xml:space="preserve">) (pp 15, 17 </w:t>
      </w:r>
      <w:r w:rsidR="006B70F4">
        <w:t>&amp;</w:t>
      </w:r>
      <w:r>
        <w:t xml:space="preserve"> 19)</w:t>
      </w:r>
    </w:p>
    <w:p w:rsidR="00467D07" w:rsidRDefault="00467D07" w:rsidP="00467D07">
      <w:pPr>
        <w:pStyle w:val="LegHeadBold"/>
      </w:pPr>
      <w:r>
        <w:t>MEDICINES AND RELATED SUBSTANCES ACT 101 OF 1965</w:t>
      </w:r>
    </w:p>
    <w:p w:rsidR="00467D07" w:rsidRDefault="00467D07" w:rsidP="00467D07">
      <w:pPr>
        <w:pStyle w:val="LegText"/>
      </w:pPr>
      <w:r>
        <w:t xml:space="preserve">Regulations relating to a transparent pricing system for medicines and scheduled substances: Determination regarding annual adjustment of the </w:t>
      </w:r>
      <w:r w:rsidRPr="00467D07">
        <w:t xml:space="preserve">single exit price </w:t>
      </w:r>
      <w:r>
        <w:t xml:space="preserve">of medicines and scheduled substances </w:t>
      </w:r>
      <w:r w:rsidRPr="00467D07">
        <w:t>(SEPA) for the year 201</w:t>
      </w:r>
      <w:r>
        <w:t xml:space="preserve">5 published (GN R74 in </w:t>
      </w:r>
      <w:r w:rsidRPr="00FF5569">
        <w:rPr>
          <w:i/>
        </w:rPr>
        <w:t>GG</w:t>
      </w:r>
      <w:r>
        <w:t xml:space="preserve"> 38451 of 4 February 2015) (p3)</w:t>
      </w:r>
    </w:p>
    <w:p w:rsidR="00467D07" w:rsidRDefault="00467D07" w:rsidP="00467D07">
      <w:pPr>
        <w:pStyle w:val="LegText"/>
      </w:pPr>
      <w:r w:rsidRPr="00467D07">
        <w:t>Information to be provided by manufacturers and</w:t>
      </w:r>
      <w:r>
        <w:t>/</w:t>
      </w:r>
      <w:r w:rsidRPr="00467D07">
        <w:t>or importers of medicines and scheduled substances when applying for the single exit price adjustment for 2015</w:t>
      </w:r>
      <w:r>
        <w:t xml:space="preserve"> published </w:t>
      </w:r>
      <w:r>
        <w:br/>
        <w:t xml:space="preserve">(GN R75 in </w:t>
      </w:r>
      <w:r w:rsidRPr="00FF5569">
        <w:rPr>
          <w:i/>
        </w:rPr>
        <w:t>GG</w:t>
      </w:r>
      <w:r>
        <w:t xml:space="preserve"> 38451 of 4 February 2015) (p4)</w:t>
      </w:r>
    </w:p>
    <w:p w:rsidR="005E4AE2" w:rsidRPr="00E30DD1" w:rsidRDefault="005E4AE2" w:rsidP="00467D07">
      <w:pPr>
        <w:pStyle w:val="LegHeadBold"/>
      </w:pPr>
      <w:r w:rsidRPr="00E30DD1">
        <w:t>PETROLEUM PRODUCTS ACT 120 OF 1977</w:t>
      </w:r>
    </w:p>
    <w:p w:rsidR="005E4AE2" w:rsidRPr="00E30DD1" w:rsidRDefault="005E4AE2" w:rsidP="005E4AE2">
      <w:pPr>
        <w:pStyle w:val="LegText"/>
      </w:pPr>
      <w:r w:rsidRPr="00E30DD1">
        <w:t xml:space="preserve">Regulations in respect of the single maximum national retail price for illuminating paraffin published with effect from </w:t>
      </w:r>
      <w:r w:rsidR="00E30DD1" w:rsidRPr="00E30DD1">
        <w:t>4</w:t>
      </w:r>
      <w:r w:rsidRPr="00E30DD1">
        <w:t xml:space="preserve"> </w:t>
      </w:r>
      <w:r w:rsidR="00E30DD1" w:rsidRPr="00E30DD1">
        <w:t>February</w:t>
      </w:r>
      <w:r w:rsidRPr="00E30DD1">
        <w:t xml:space="preserve"> 2015 (GN R</w:t>
      </w:r>
      <w:r w:rsidR="00E30DD1" w:rsidRPr="00E30DD1">
        <w:t>62</w:t>
      </w:r>
      <w:r w:rsidRPr="00E30DD1">
        <w:t xml:space="preserve"> in </w:t>
      </w:r>
      <w:r w:rsidR="00E30DD1" w:rsidRPr="00E30DD1">
        <w:rPr>
          <w:i/>
        </w:rPr>
        <w:t>GG</w:t>
      </w:r>
      <w:r w:rsidR="00E30DD1" w:rsidRPr="00E30DD1">
        <w:t xml:space="preserve"> 38450</w:t>
      </w:r>
      <w:r w:rsidRPr="00E30DD1">
        <w:t xml:space="preserve"> of </w:t>
      </w:r>
      <w:r w:rsidR="00E30DD1" w:rsidRPr="00E30DD1">
        <w:t>3</w:t>
      </w:r>
      <w:r w:rsidRPr="00E30DD1">
        <w:t xml:space="preserve"> </w:t>
      </w:r>
      <w:r w:rsidR="00E30DD1" w:rsidRPr="00E30DD1">
        <w:t xml:space="preserve">February </w:t>
      </w:r>
      <w:r w:rsidRPr="00E30DD1">
        <w:t>2015) (p3)</w:t>
      </w:r>
    </w:p>
    <w:p w:rsidR="005E4AE2" w:rsidRPr="00E30DD1" w:rsidRDefault="005E4AE2" w:rsidP="005E4AE2">
      <w:pPr>
        <w:pStyle w:val="LegText"/>
      </w:pPr>
      <w:r w:rsidRPr="00E30DD1">
        <w:t xml:space="preserve">Amendment of regulations in respect of petroleum products published with effect from </w:t>
      </w:r>
      <w:r w:rsidR="00E30DD1" w:rsidRPr="00E30DD1">
        <w:t xml:space="preserve">4 February </w:t>
      </w:r>
      <w:r w:rsidRPr="00E30DD1">
        <w:t>2015 (GN R</w:t>
      </w:r>
      <w:r w:rsidR="00E30DD1" w:rsidRPr="00E30DD1">
        <w:t>63</w:t>
      </w:r>
      <w:r w:rsidRPr="00E30DD1">
        <w:t xml:space="preserve"> in </w:t>
      </w:r>
      <w:r w:rsidR="00E30DD1" w:rsidRPr="00FF5569">
        <w:rPr>
          <w:i/>
        </w:rPr>
        <w:t>GG</w:t>
      </w:r>
      <w:r w:rsidR="00E30DD1">
        <w:t xml:space="preserve"> </w:t>
      </w:r>
      <w:r w:rsidR="00E30DD1" w:rsidRPr="00E30DD1">
        <w:t>38450</w:t>
      </w:r>
      <w:r w:rsidRPr="00E30DD1">
        <w:t xml:space="preserve"> of </w:t>
      </w:r>
      <w:r w:rsidR="00E30DD1" w:rsidRPr="00E30DD1">
        <w:t>3</w:t>
      </w:r>
      <w:r w:rsidRPr="00E30DD1">
        <w:t xml:space="preserve"> </w:t>
      </w:r>
      <w:r w:rsidR="00E30DD1" w:rsidRPr="00E30DD1">
        <w:t xml:space="preserve">February </w:t>
      </w:r>
      <w:r w:rsidRPr="00E30DD1">
        <w:t>2015) (p4)</w:t>
      </w:r>
    </w:p>
    <w:p w:rsidR="005E4AE2" w:rsidRDefault="005E4AE2" w:rsidP="005E4AE2">
      <w:pPr>
        <w:pStyle w:val="LegText"/>
      </w:pPr>
      <w:r w:rsidRPr="00E30DD1">
        <w:t xml:space="preserve">Regulations in respect of the maximum retail price of Liquefied Petroleum Gas supplied to residential customers published with effect from </w:t>
      </w:r>
      <w:r w:rsidR="00E30DD1" w:rsidRPr="00E30DD1">
        <w:t xml:space="preserve">4 February </w:t>
      </w:r>
      <w:r w:rsidRPr="00E30DD1">
        <w:t xml:space="preserve">2015 </w:t>
      </w:r>
      <w:r w:rsidR="00E30DD1" w:rsidRPr="00E30DD1">
        <w:br/>
      </w:r>
      <w:r w:rsidRPr="00E30DD1">
        <w:t>(GN R</w:t>
      </w:r>
      <w:r w:rsidR="00E30DD1" w:rsidRPr="00E30DD1">
        <w:t>64</w:t>
      </w:r>
      <w:r w:rsidRPr="00E30DD1">
        <w:t xml:space="preserve"> in </w:t>
      </w:r>
      <w:r w:rsidR="00E30DD1" w:rsidRPr="00E30DD1">
        <w:rPr>
          <w:i/>
        </w:rPr>
        <w:t>GG</w:t>
      </w:r>
      <w:r w:rsidR="00E30DD1" w:rsidRPr="00E30DD1">
        <w:t xml:space="preserve"> 38450</w:t>
      </w:r>
      <w:r w:rsidRPr="00E30DD1">
        <w:t xml:space="preserve"> of </w:t>
      </w:r>
      <w:r w:rsidR="00E30DD1" w:rsidRPr="00E30DD1">
        <w:t>3</w:t>
      </w:r>
      <w:r w:rsidRPr="00E30DD1">
        <w:t xml:space="preserve"> </w:t>
      </w:r>
      <w:r w:rsidR="00E30DD1" w:rsidRPr="00E30DD1">
        <w:t xml:space="preserve">February </w:t>
      </w:r>
      <w:r w:rsidRPr="00E30DD1">
        <w:t>2015) (p6)</w:t>
      </w:r>
    </w:p>
    <w:p w:rsidR="0061020B" w:rsidRDefault="00B04C99" w:rsidP="0061020B">
      <w:pPr>
        <w:pStyle w:val="LegHeadBold"/>
      </w:pPr>
      <w:r>
        <w:lastRenderedPageBreak/>
        <w:t>LIQUOR PRODUCTS ACT 60 OF 1989</w:t>
      </w:r>
    </w:p>
    <w:p w:rsidR="0061020B" w:rsidRDefault="0061020B" w:rsidP="0061020B">
      <w:pPr>
        <w:pStyle w:val="LegText"/>
      </w:pPr>
      <w:r>
        <w:t xml:space="preserve">Regulations relating to fees amended (GN R66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38442 of 6 February 2015</w:t>
      </w:r>
      <w:r>
        <w:t>) (p4)</w:t>
      </w:r>
    </w:p>
    <w:p w:rsidR="00B25531" w:rsidRDefault="00B25531" w:rsidP="00512E7E">
      <w:pPr>
        <w:pStyle w:val="LegHeadBold"/>
        <w:keepNext/>
      </w:pPr>
      <w:r>
        <w:t>MARKETING OF AGRICULTURAL PRODUCTS ACT 47 OF 1996</w:t>
      </w:r>
    </w:p>
    <w:p w:rsidR="00B25531" w:rsidRDefault="00B25531" w:rsidP="00B25531">
      <w:pPr>
        <w:pStyle w:val="LegText"/>
      </w:pPr>
      <w:r w:rsidRPr="00B25531">
        <w:t>Invitation to</w:t>
      </w:r>
      <w:r>
        <w:t xml:space="preserve"> register as a directly affected group in terms of the Act published </w:t>
      </w:r>
      <w:r>
        <w:br/>
        <w:t xml:space="preserve">(GenN 88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(p61)</w:t>
      </w:r>
    </w:p>
    <w:p w:rsidR="00B25531" w:rsidRDefault="00B25531" w:rsidP="00B25531">
      <w:pPr>
        <w:pStyle w:val="LegText"/>
      </w:pPr>
      <w:r>
        <w:t xml:space="preserve">Application for implementation of statutory measures on </w:t>
      </w:r>
      <w:r w:rsidRPr="008D2365">
        <w:t>stone and pome fruit</w:t>
      </w:r>
      <w:r>
        <w:t xml:space="preserve"> published for comment by industry role players (GenN 89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(p63)</w:t>
      </w:r>
    </w:p>
    <w:p w:rsidR="003846D9" w:rsidRDefault="003846D9" w:rsidP="003846D9">
      <w:pPr>
        <w:pStyle w:val="LegHeadBold"/>
      </w:pPr>
      <w:r>
        <w:t>COMPETITION ACT 89 OF 1998</w:t>
      </w:r>
    </w:p>
    <w:p w:rsidR="003846D9" w:rsidRDefault="003846D9" w:rsidP="003846D9">
      <w:pPr>
        <w:pStyle w:val="LegText"/>
      </w:pPr>
      <w:r>
        <w:t xml:space="preserve">Competition Commission: </w:t>
      </w:r>
      <w:r w:rsidRPr="003846D9">
        <w:t>Air Berlin PLC &amp; Co. Luftverkehrs KG ('Air Berlin') and Etihad Airways PJSC ('Etihad')</w:t>
      </w:r>
      <w:r>
        <w:t xml:space="preserve">: Application for an exemption published for comment </w:t>
      </w:r>
      <w:r>
        <w:br/>
        <w:t xml:space="preserve">(GenN 99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(p103)</w:t>
      </w:r>
    </w:p>
    <w:p w:rsidR="003846D9" w:rsidRDefault="003846D9" w:rsidP="003846D9">
      <w:pPr>
        <w:pStyle w:val="LegHeadBold"/>
      </w:pPr>
      <w:r>
        <w:t>HOUSING CONSUMERS PROTECTION MEASURES ACT 95 OF 1998</w:t>
      </w:r>
    </w:p>
    <w:p w:rsidR="003846D9" w:rsidRDefault="003846D9" w:rsidP="003846D9">
      <w:pPr>
        <w:pStyle w:val="LegText"/>
      </w:pPr>
      <w:r>
        <w:t xml:space="preserve">National Home Builders Registration Council (NHBRC): Extension of </w:t>
      </w:r>
      <w:r w:rsidR="0061020B">
        <w:t xml:space="preserve">comment period on </w:t>
      </w:r>
      <w:r>
        <w:t xml:space="preserve">notice of intention to repeal Home Building Manual Parts 1, 2 &amp; 3 of February 1999 published for comment </w:t>
      </w:r>
      <w:r w:rsidR="0061020B">
        <w:t xml:space="preserve">in </w:t>
      </w:r>
      <w:r>
        <w:t xml:space="preserve">BN 150 in </w:t>
      </w:r>
      <w:r w:rsidR="0061020B" w:rsidRPr="00FF5569">
        <w:rPr>
          <w:i/>
        </w:rPr>
        <w:t>GG</w:t>
      </w:r>
      <w:r w:rsidR="0061020B">
        <w:t xml:space="preserve"> </w:t>
      </w:r>
      <w:r>
        <w:t>38290 of 12 December 2014</w:t>
      </w:r>
      <w:r w:rsidR="0061020B">
        <w:t xml:space="preserve"> published </w:t>
      </w:r>
      <w:r w:rsidR="0061020B">
        <w:br/>
        <w:t xml:space="preserve">(BN 37 </w:t>
      </w:r>
      <w:r w:rsidR="0061020B" w:rsidRPr="008D2365">
        <w:t xml:space="preserve">in </w:t>
      </w:r>
      <w:r w:rsidR="0061020B" w:rsidRPr="008D2365">
        <w:rPr>
          <w:i/>
        </w:rPr>
        <w:t>GG</w:t>
      </w:r>
      <w:r w:rsidR="0061020B" w:rsidRPr="008D2365">
        <w:t xml:space="preserve"> 38441 of 6 February 2015</w:t>
      </w:r>
      <w:r w:rsidR="0061020B">
        <w:t>) (p108)</w:t>
      </w:r>
    </w:p>
    <w:p w:rsidR="00E30DD1" w:rsidRDefault="00E30DD1" w:rsidP="003846D9">
      <w:pPr>
        <w:pStyle w:val="LegHeadBold"/>
      </w:pPr>
      <w:r>
        <w:t>POSTAL SERVICES ACT 124 OF 1998</w:t>
      </w:r>
    </w:p>
    <w:p w:rsidR="00E30DD1" w:rsidRDefault="00E30DD1" w:rsidP="00E30DD1">
      <w:pPr>
        <w:pStyle w:val="LegText"/>
      </w:pPr>
      <w:r>
        <w:t xml:space="preserve">Fees and charges for postal services published with effect from 1 April 2015 </w:t>
      </w:r>
      <w:r>
        <w:br/>
        <w:t xml:space="preserve">(GenN 87 in </w:t>
      </w:r>
      <w:r w:rsidRPr="00FF5569">
        <w:rPr>
          <w:i/>
        </w:rPr>
        <w:t>GG</w:t>
      </w:r>
      <w:r>
        <w:t xml:space="preserve"> </w:t>
      </w:r>
      <w:r w:rsidRPr="00B04C99">
        <w:t>38449</w:t>
      </w:r>
      <w:r>
        <w:t xml:space="preserve"> of 2 February 201</w:t>
      </w:r>
      <w:r w:rsidR="00B04C99">
        <w:t>5</w:t>
      </w:r>
      <w:r>
        <w:t>) (p3)</w:t>
      </w:r>
    </w:p>
    <w:p w:rsidR="009B2A03" w:rsidRDefault="009B2A03" w:rsidP="009B2A03">
      <w:pPr>
        <w:pStyle w:val="LegHeadBold"/>
      </w:pPr>
      <w:r>
        <w:t>ENGINEERING PROFESSION ACT 46 OF 2000</w:t>
      </w:r>
    </w:p>
    <w:p w:rsidR="009B2A03" w:rsidRDefault="009B2A03" w:rsidP="009B2A03">
      <w:pPr>
        <w:pStyle w:val="LegText"/>
      </w:pPr>
      <w:r w:rsidRPr="009B2A03">
        <w:t>Proposed rule</w:t>
      </w:r>
      <w:r>
        <w:t>s</w:t>
      </w:r>
      <w:r w:rsidRPr="009B2A03">
        <w:t xml:space="preserve"> relating to the new registration system for the Engineering Council of South Africa</w:t>
      </w:r>
      <w:r>
        <w:t xml:space="preserve"> published for comment (BN 39 in </w:t>
      </w:r>
      <w:r w:rsidRPr="00FF5569">
        <w:rPr>
          <w:i/>
        </w:rPr>
        <w:t>GG</w:t>
      </w:r>
      <w:r>
        <w:t xml:space="preserve"> </w:t>
      </w:r>
      <w:r w:rsidRPr="009B2A03">
        <w:t>38454</w:t>
      </w:r>
      <w:r>
        <w:t xml:space="preserve"> of </w:t>
      </w:r>
      <w:r w:rsidRPr="008D2365">
        <w:t>6 February 2015</w:t>
      </w:r>
      <w:r>
        <w:t>) (p3)</w:t>
      </w:r>
    </w:p>
    <w:p w:rsidR="00B25531" w:rsidRDefault="00B25531" w:rsidP="009B2A03">
      <w:pPr>
        <w:pStyle w:val="LegHeadBold"/>
      </w:pPr>
      <w:r w:rsidRPr="00B25531">
        <w:t>CO-OPERATIVE BANKS ACT 40 OF 2007</w:t>
      </w:r>
    </w:p>
    <w:p w:rsidR="00B25531" w:rsidRDefault="00B25531" w:rsidP="00B25531">
      <w:pPr>
        <w:pStyle w:val="LegText"/>
      </w:pPr>
      <w:r w:rsidRPr="008D2365">
        <w:t>Co</w:t>
      </w:r>
      <w:r>
        <w:t>-</w:t>
      </w:r>
      <w:r w:rsidRPr="008D2365">
        <w:t>operative Banks Act Rules for Representative Bodies and Support Organisations</w:t>
      </w:r>
      <w:r>
        <w:t xml:space="preserve"> published </w:t>
      </w:r>
      <w:r>
        <w:br/>
        <w:t xml:space="preserve">(GN 72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(p39)</w:t>
      </w:r>
    </w:p>
    <w:p w:rsidR="00B25531" w:rsidRDefault="00B25531" w:rsidP="00E30DD1">
      <w:pPr>
        <w:pStyle w:val="LegHeadBold"/>
      </w:pPr>
      <w:r w:rsidRPr="00B25531">
        <w:t>NATIONAL REGULATOR FOR COMPULSORY SPECIFICATIONS ACT 5 OF 2008</w:t>
      </w:r>
    </w:p>
    <w:p w:rsidR="00B25531" w:rsidRDefault="00B25531" w:rsidP="00B25531">
      <w:pPr>
        <w:pStyle w:val="LegText"/>
      </w:pPr>
      <w:r w:rsidRPr="008D2365">
        <w:t>Proposed amendment to the compulsory specification for switches for fixed installations (VC</w:t>
      </w:r>
      <w:r>
        <w:t> </w:t>
      </w:r>
      <w:r w:rsidRPr="008D2365">
        <w:t>8003)</w:t>
      </w:r>
      <w:r>
        <w:t xml:space="preserve"> published for comment (GN 73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(p53)</w:t>
      </w:r>
    </w:p>
    <w:p w:rsidR="00C454D1" w:rsidRDefault="00C454D1" w:rsidP="00E30DD1">
      <w:pPr>
        <w:pStyle w:val="LegHeadBold"/>
      </w:pPr>
      <w:r w:rsidRPr="00C454D1">
        <w:t>NATIONAL ENVIRONMENTAL MANAGEMENT: WASTE ACT 59 OF 2008</w:t>
      </w:r>
    </w:p>
    <w:p w:rsidR="00C454D1" w:rsidRDefault="00C454D1" w:rsidP="00C454D1">
      <w:pPr>
        <w:pStyle w:val="LegText"/>
      </w:pPr>
      <w:r>
        <w:t xml:space="preserve">Draft </w:t>
      </w:r>
      <w:r w:rsidRPr="005724A7">
        <w:t>national pricing strategy for waste management charges</w:t>
      </w:r>
      <w:r>
        <w:t xml:space="preserve"> published for comment </w:t>
      </w:r>
      <w:r>
        <w:br/>
        <w:t xml:space="preserve">(GenN 84 in </w:t>
      </w:r>
      <w:r w:rsidRPr="00FF5569">
        <w:rPr>
          <w:i/>
        </w:rPr>
        <w:t>GG</w:t>
      </w:r>
      <w:r>
        <w:t xml:space="preserve"> </w:t>
      </w:r>
      <w:r w:rsidRPr="005724A7">
        <w:t>38438</w:t>
      </w:r>
      <w:r>
        <w:t xml:space="preserve"> of </w:t>
      </w:r>
      <w:r w:rsidRPr="005724A7">
        <w:t>2</w:t>
      </w:r>
      <w:r>
        <w:t xml:space="preserve"> </w:t>
      </w:r>
      <w:r w:rsidRPr="005724A7">
        <w:t>Feb</w:t>
      </w:r>
      <w:r>
        <w:t>ruary 20</w:t>
      </w:r>
      <w:r w:rsidRPr="005724A7">
        <w:t>15</w:t>
      </w:r>
      <w:r>
        <w:t>) (p3)</w:t>
      </w:r>
    </w:p>
    <w:p w:rsidR="003846D9" w:rsidRDefault="003846D9" w:rsidP="003846D9">
      <w:pPr>
        <w:pStyle w:val="LegHeadBold"/>
      </w:pPr>
      <w:r w:rsidRPr="003846D9">
        <w:t>USE OF OFFICIAL LANGUAGES ACT 12 OF 2012</w:t>
      </w:r>
    </w:p>
    <w:p w:rsidR="003846D9" w:rsidRDefault="003846D9" w:rsidP="00C454D1">
      <w:pPr>
        <w:pStyle w:val="LegText"/>
      </w:pPr>
      <w:r w:rsidRPr="003846D9">
        <w:t>Public Investment Corporation SOC Limited</w:t>
      </w:r>
      <w:r>
        <w:t xml:space="preserve">: </w:t>
      </w:r>
      <w:r w:rsidRPr="008D2365">
        <w:t>Draft language policy</w:t>
      </w:r>
      <w:r>
        <w:t xml:space="preserve"> published for comment </w:t>
      </w:r>
      <w:r>
        <w:br/>
        <w:t xml:space="preserve">(GenN 90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(p65)</w:t>
      </w:r>
    </w:p>
    <w:p w:rsidR="003846D9" w:rsidRDefault="003846D9" w:rsidP="003846D9">
      <w:pPr>
        <w:pStyle w:val="LegText"/>
      </w:pPr>
      <w:r w:rsidRPr="008D2365">
        <w:t>Office of the Tax Ombud</w:t>
      </w:r>
      <w:r>
        <w:t xml:space="preserve">: </w:t>
      </w:r>
      <w:r w:rsidRPr="008D2365">
        <w:t>Draft language policy</w:t>
      </w:r>
      <w:r>
        <w:t xml:space="preserve"> published for comment </w:t>
      </w:r>
      <w:r>
        <w:br/>
        <w:t xml:space="preserve">(GenN 91 </w:t>
      </w:r>
      <w:r w:rsidRPr="008D2365">
        <w:t xml:space="preserve">in </w:t>
      </w:r>
      <w:r w:rsidRPr="008D2365">
        <w:rPr>
          <w:i/>
        </w:rPr>
        <w:t>GG</w:t>
      </w:r>
      <w:r w:rsidRPr="008D2365">
        <w:t xml:space="preserve"> 38441 of 6 February 2015</w:t>
      </w:r>
      <w:r>
        <w:t>) (p76)</w:t>
      </w:r>
    </w:p>
    <w:p w:rsidR="0061020B" w:rsidRDefault="0061020B" w:rsidP="0061020B">
      <w:pPr>
        <w:pStyle w:val="LegHeadBold"/>
      </w:pPr>
      <w:r>
        <w:t>FINANCIAL MARKETS ACT 19 OF 2012</w:t>
      </w:r>
    </w:p>
    <w:p w:rsidR="0061020B" w:rsidRDefault="0061020B" w:rsidP="0061020B">
      <w:pPr>
        <w:pStyle w:val="LegText"/>
      </w:pPr>
      <w:r>
        <w:t xml:space="preserve">Notice of approval of amendments to the JSE Listing Requirements published with effect from 10 March 2015 (BN </w:t>
      </w:r>
      <w:r w:rsidR="00512E7E">
        <w:t>38</w:t>
      </w:r>
      <w:r>
        <w:t xml:space="preserve"> in </w:t>
      </w:r>
      <w:r w:rsidR="00512E7E" w:rsidRPr="00FF5569">
        <w:rPr>
          <w:i/>
        </w:rPr>
        <w:t>GG</w:t>
      </w:r>
      <w:r w:rsidR="00512E7E">
        <w:t xml:space="preserve"> </w:t>
      </w:r>
      <w:r>
        <w:t>38</w:t>
      </w:r>
      <w:r w:rsidR="00512E7E">
        <w:t>452</w:t>
      </w:r>
      <w:r>
        <w:t xml:space="preserve"> of </w:t>
      </w:r>
      <w:r w:rsidR="007B5170">
        <w:t>5</w:t>
      </w:r>
      <w:r w:rsidR="00512E7E" w:rsidRPr="008D2365">
        <w:t xml:space="preserve"> February 2015</w:t>
      </w:r>
      <w:r>
        <w:t>) (p2)</w:t>
      </w:r>
    </w:p>
    <w:p w:rsidR="00042A95" w:rsidRPr="00500AC0" w:rsidRDefault="00042A95" w:rsidP="00232829">
      <w:pPr>
        <w:pStyle w:val="LegHeadCenteredBold"/>
      </w:pPr>
      <w:r w:rsidRPr="00500AC0">
        <w:lastRenderedPageBreak/>
        <w:t>PROVINCIAL LEGISLATION</w:t>
      </w:r>
    </w:p>
    <w:p w:rsidR="000E3120" w:rsidRDefault="000E3120" w:rsidP="000E3120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:rsidR="000E3120" w:rsidRPr="00A672CF" w:rsidRDefault="000E3120" w:rsidP="000E3120">
      <w:pPr>
        <w:pStyle w:val="LegText"/>
        <w:rPr>
          <w:lang w:val="af-ZA"/>
        </w:rPr>
      </w:pPr>
      <w:r w:rsidRPr="00A672CF">
        <w:rPr>
          <w:lang w:val="af-ZA"/>
        </w:rPr>
        <w:t xml:space="preserve">Problem Animal Control Ordinance 26 of 1957 and Nature and Environmental Conservation Ordinance 19 of 1974: </w:t>
      </w:r>
      <w:r w:rsidRPr="00DA1FFE">
        <w:rPr>
          <w:lang w:val="af-ZA"/>
        </w:rPr>
        <w:t>Hunting Season and daily bag limits and hunting by the use of prohibited hunting methods, 201</w:t>
      </w:r>
      <w:r>
        <w:rPr>
          <w:lang w:val="af-ZA"/>
        </w:rPr>
        <w:t>5</w:t>
      </w:r>
      <w:r w:rsidRPr="00A672CF">
        <w:rPr>
          <w:lang w:val="af-ZA"/>
        </w:rPr>
        <w:t xml:space="preserve"> published (Proc 1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>3331</w:t>
      </w:r>
      <w:r w:rsidRPr="00A672CF">
        <w:rPr>
          <w:lang w:val="af-ZA"/>
        </w:rPr>
        <w:t xml:space="preserve"> of </w:t>
      </w:r>
      <w:r>
        <w:rPr>
          <w:lang w:val="af-ZA"/>
        </w:rPr>
        <w:t>30 January 2015</w:t>
      </w:r>
      <w:r w:rsidRPr="00A672CF">
        <w:rPr>
          <w:lang w:val="af-ZA"/>
        </w:rPr>
        <w:t>) (p3)</w:t>
      </w:r>
    </w:p>
    <w:p w:rsidR="000E3120" w:rsidRDefault="000E3120" w:rsidP="000E3120">
      <w:pPr>
        <w:pStyle w:val="LegText"/>
        <w:rPr>
          <w:lang w:val="af-ZA"/>
        </w:rPr>
      </w:pPr>
      <w:r w:rsidRPr="00A672CF">
        <w:rPr>
          <w:lang w:val="af-ZA"/>
        </w:rPr>
        <w:t>Nature Conservation Act 10 of 1987 (Ciskei): Hunting Seasons: Former Ciskei and Transkei published (</w:t>
      </w:r>
      <w:r>
        <w:rPr>
          <w:lang w:val="af-ZA"/>
        </w:rPr>
        <w:t>P</w:t>
      </w:r>
      <w:r w:rsidRPr="00A672CF">
        <w:rPr>
          <w:lang w:val="af-ZA"/>
        </w:rPr>
        <w:t xml:space="preserve">N </w:t>
      </w:r>
      <w:r>
        <w:rPr>
          <w:lang w:val="af-ZA"/>
        </w:rPr>
        <w:t>5</w:t>
      </w:r>
      <w:r w:rsidRPr="00A672CF">
        <w:rPr>
          <w:lang w:val="af-ZA"/>
        </w:rPr>
        <w:t xml:space="preserve">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>3331</w:t>
      </w:r>
      <w:r w:rsidRPr="00A672CF">
        <w:rPr>
          <w:lang w:val="af-ZA"/>
        </w:rPr>
        <w:t xml:space="preserve"> of </w:t>
      </w:r>
      <w:r>
        <w:rPr>
          <w:lang w:val="af-ZA"/>
        </w:rPr>
        <w:t>30 January</w:t>
      </w:r>
      <w:r w:rsidRPr="00A672CF">
        <w:rPr>
          <w:lang w:val="af-ZA"/>
        </w:rPr>
        <w:t xml:space="preserve"> 201</w:t>
      </w:r>
      <w:r>
        <w:rPr>
          <w:lang w:val="af-ZA"/>
        </w:rPr>
        <w:t>5</w:t>
      </w:r>
      <w:r w:rsidRPr="00A672CF">
        <w:rPr>
          <w:lang w:val="af-ZA"/>
        </w:rPr>
        <w:t>) (p</w:t>
      </w:r>
      <w:r>
        <w:rPr>
          <w:lang w:val="af-ZA"/>
        </w:rPr>
        <w:t>8</w:t>
      </w:r>
      <w:r w:rsidRPr="00A672CF">
        <w:rPr>
          <w:lang w:val="af-ZA"/>
        </w:rPr>
        <w:t>)</w:t>
      </w:r>
    </w:p>
    <w:p w:rsidR="000E3120" w:rsidRDefault="000E3120" w:rsidP="000E3120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Credit Control and Debt Collection By-law published with effect from 1 July 2014 </w:t>
      </w:r>
      <w:r w:rsidRPr="00A672CF">
        <w:rPr>
          <w:lang w:val="af-ZA"/>
        </w:rPr>
        <w:t>(</w:t>
      </w:r>
      <w:r>
        <w:rPr>
          <w:lang w:val="af-ZA"/>
        </w:rPr>
        <w:t>GenN</w:t>
      </w:r>
      <w:r w:rsidRPr="00A672CF">
        <w:rPr>
          <w:lang w:val="af-ZA"/>
        </w:rPr>
        <w:t xml:space="preserve"> </w:t>
      </w:r>
      <w:r>
        <w:rPr>
          <w:lang w:val="af-ZA"/>
        </w:rPr>
        <w:t>12</w:t>
      </w:r>
      <w:r w:rsidRPr="00A672CF">
        <w:rPr>
          <w:lang w:val="af-ZA"/>
        </w:rPr>
        <w:t xml:space="preserve">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>3333</w:t>
      </w:r>
      <w:r w:rsidRPr="00A672CF">
        <w:rPr>
          <w:lang w:val="af-ZA"/>
        </w:rPr>
        <w:t xml:space="preserve"> of </w:t>
      </w:r>
      <w:r>
        <w:rPr>
          <w:lang w:val="af-ZA"/>
        </w:rPr>
        <w:t>30 January</w:t>
      </w:r>
      <w:r w:rsidRPr="00A672CF">
        <w:rPr>
          <w:lang w:val="af-ZA"/>
        </w:rPr>
        <w:t xml:space="preserve"> 201</w:t>
      </w:r>
      <w:r>
        <w:rPr>
          <w:lang w:val="af-ZA"/>
        </w:rPr>
        <w:t>5</w:t>
      </w:r>
      <w:r w:rsidRPr="00A672CF">
        <w:rPr>
          <w:lang w:val="af-ZA"/>
        </w:rPr>
        <w:t>) (p</w:t>
      </w:r>
      <w:r>
        <w:rPr>
          <w:lang w:val="af-ZA"/>
        </w:rPr>
        <w:t>3</w:t>
      </w:r>
      <w:r w:rsidRPr="00A672CF">
        <w:rPr>
          <w:lang w:val="af-ZA"/>
        </w:rPr>
        <w:t>)</w:t>
      </w:r>
    </w:p>
    <w:p w:rsidR="000E3120" w:rsidRDefault="000E3120" w:rsidP="000E3120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0E3120" w:rsidRPr="00666546" w:rsidRDefault="000E3120" w:rsidP="00232829">
      <w:pPr>
        <w:pStyle w:val="LegText"/>
        <w:rPr>
          <w:b/>
        </w:rPr>
      </w:pPr>
      <w:r w:rsidRPr="00666546">
        <w:t>South African Schools Act 84 of 1996:</w:t>
      </w:r>
      <w:r>
        <w:t xml:space="preserve"> Draft </w:t>
      </w:r>
      <w:r w:rsidRPr="00666546">
        <w:t xml:space="preserve">Measures relating to </w:t>
      </w:r>
      <w:r>
        <w:t>Elections of School Governing Bodies of Special Public Schools for Learners with Special Education Needs, 2015 published for comment</w:t>
      </w:r>
      <w:r w:rsidRPr="00666546">
        <w:t xml:space="preserve"> (PN </w:t>
      </w:r>
      <w:r>
        <w:t>142</w:t>
      </w:r>
      <w:r w:rsidRPr="00666546">
        <w:t xml:space="preserve"> in </w:t>
      </w:r>
      <w:r w:rsidRPr="00666546">
        <w:rPr>
          <w:i/>
        </w:rPr>
        <w:t>PG</w:t>
      </w:r>
      <w:r w:rsidRPr="00666546">
        <w:t xml:space="preserve"> </w:t>
      </w:r>
      <w:r>
        <w:t>98</w:t>
      </w:r>
      <w:r w:rsidRPr="00666546">
        <w:t xml:space="preserve"> of </w:t>
      </w:r>
      <w:r>
        <w:t>3</w:t>
      </w:r>
      <w:r w:rsidRPr="00666546">
        <w:t xml:space="preserve"> February 201</w:t>
      </w:r>
      <w:r>
        <w:t>5</w:t>
      </w:r>
      <w:r w:rsidRPr="00666546">
        <w:t>) (p</w:t>
      </w:r>
      <w:r>
        <w:t>2</w:t>
      </w:r>
      <w:r w:rsidRPr="00666546">
        <w:t>)</w:t>
      </w:r>
    </w:p>
    <w:p w:rsidR="000E3120" w:rsidRDefault="000E3120" w:rsidP="00232829">
      <w:pPr>
        <w:pStyle w:val="LegText"/>
        <w:rPr>
          <w:b/>
        </w:rPr>
      </w:pPr>
      <w:r w:rsidRPr="00666546">
        <w:t>South African Schools Act 84 of 1996:</w:t>
      </w:r>
      <w:r>
        <w:t xml:space="preserve"> </w:t>
      </w:r>
      <w:r w:rsidRPr="00666546">
        <w:t xml:space="preserve">Measures relating to </w:t>
      </w:r>
      <w:r>
        <w:t xml:space="preserve">Elections of School Governing Bodies of Ordinary Public Schools published and PN 237 in </w:t>
      </w:r>
      <w:r w:rsidRPr="00C435AB">
        <w:rPr>
          <w:i/>
        </w:rPr>
        <w:t>PG</w:t>
      </w:r>
      <w:r w:rsidR="00607D3E">
        <w:rPr>
          <w:i/>
        </w:rPr>
        <w:t xml:space="preserve"> </w:t>
      </w:r>
      <w:r w:rsidR="00607D3E" w:rsidRPr="00607D3E">
        <w:t>95</w:t>
      </w:r>
      <w:r>
        <w:t xml:space="preserve"> of 10 February 2012 repealed</w:t>
      </w:r>
      <w:r>
        <w:br/>
      </w:r>
      <w:r w:rsidRPr="00666546">
        <w:t xml:space="preserve">(PN </w:t>
      </w:r>
      <w:r>
        <w:t>143</w:t>
      </w:r>
      <w:r w:rsidRPr="00666546">
        <w:t xml:space="preserve"> in </w:t>
      </w:r>
      <w:r w:rsidRPr="00666546">
        <w:rPr>
          <w:i/>
        </w:rPr>
        <w:t>PG</w:t>
      </w:r>
      <w:r w:rsidRPr="00666546">
        <w:t xml:space="preserve"> </w:t>
      </w:r>
      <w:r>
        <w:t>99</w:t>
      </w:r>
      <w:r w:rsidRPr="00666546">
        <w:t xml:space="preserve"> of </w:t>
      </w:r>
      <w:r>
        <w:t>3</w:t>
      </w:r>
      <w:r w:rsidRPr="00666546">
        <w:t xml:space="preserve"> February 201</w:t>
      </w:r>
      <w:r>
        <w:t>5</w:t>
      </w:r>
      <w:r w:rsidRPr="00666546">
        <w:t>) (p</w:t>
      </w:r>
      <w:r>
        <w:t>2</w:t>
      </w:r>
      <w:r w:rsidRPr="00666546">
        <w:t>)</w:t>
      </w:r>
    </w:p>
    <w:p w:rsidR="000F4C75" w:rsidRDefault="000F4C75" w:rsidP="000F4C75">
      <w:pPr>
        <w:pStyle w:val="LegHeadBold"/>
        <w:rPr>
          <w:lang w:val="af-ZA"/>
        </w:rPr>
      </w:pPr>
      <w:r>
        <w:rPr>
          <w:lang w:val="af-ZA"/>
        </w:rPr>
        <w:t xml:space="preserve">KWAZULU-NATAL </w:t>
      </w:r>
    </w:p>
    <w:p w:rsidR="000F4C75" w:rsidRPr="000F4C75" w:rsidRDefault="000F4C75" w:rsidP="00232829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32 of 2000: Endumeni Municipality: Implementation date of 1 March 2015 for By-law relating to Electricty Supply, 2015 as published under MN 15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1303 of 23 January 2015; Road Traffic By-law, 2015 as published under MN 16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1303 of 23 January 2015; Property Encroachment By-law, 2015 as published under MN 17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1303 of 23 January 2015; and Library By-law, 2015 as published under MN 18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1303 of 23 January 2015 published </w:t>
      </w:r>
      <w:r>
        <w:rPr>
          <w:lang w:val="af-ZA"/>
        </w:rPr>
        <w:br/>
        <w:t xml:space="preserve">(MN 21 in </w:t>
      </w:r>
      <w:r>
        <w:rPr>
          <w:i/>
          <w:lang w:val="af-ZA"/>
        </w:rPr>
        <w:t xml:space="preserve">PG </w:t>
      </w:r>
      <w:r>
        <w:rPr>
          <w:lang w:val="af-ZA"/>
        </w:rPr>
        <w:t>1307 of 5 February 2015) (p12)</w:t>
      </w:r>
    </w:p>
    <w:p w:rsidR="000E3120" w:rsidRDefault="000E3120" w:rsidP="000E3120">
      <w:pPr>
        <w:pStyle w:val="LegHeadBold"/>
        <w:rPr>
          <w:lang w:val="af-ZA"/>
        </w:rPr>
      </w:pPr>
      <w:r>
        <w:rPr>
          <w:lang w:val="af-ZA"/>
        </w:rPr>
        <w:t>LIMPOPO</w:t>
      </w:r>
    </w:p>
    <w:p w:rsidR="000E3120" w:rsidRDefault="000E3120" w:rsidP="000E3120">
      <w:pPr>
        <w:pStyle w:val="LegText"/>
        <w:rPr>
          <w:lang w:val="af-ZA"/>
        </w:rPr>
      </w:pPr>
      <w:r>
        <w:rPr>
          <w:lang w:val="af-ZA"/>
        </w:rPr>
        <w:t xml:space="preserve">Limpopo Environmental Management Act 7 of 2003: </w:t>
      </w:r>
      <w:r w:rsidRPr="00127B4C">
        <w:rPr>
          <w:lang w:val="af-ZA"/>
        </w:rPr>
        <w:t>Open Season: Game, 201</w:t>
      </w:r>
      <w:r>
        <w:rPr>
          <w:lang w:val="af-ZA"/>
        </w:rPr>
        <w:t xml:space="preserve">5 </w:t>
      </w:r>
      <w:r w:rsidRPr="00A672CF">
        <w:rPr>
          <w:lang w:val="af-ZA"/>
        </w:rPr>
        <w:t>published (</w:t>
      </w:r>
      <w:r>
        <w:rPr>
          <w:lang w:val="af-ZA"/>
        </w:rPr>
        <w:t>GenN</w:t>
      </w:r>
      <w:r w:rsidRPr="00A672CF">
        <w:rPr>
          <w:lang w:val="af-ZA"/>
        </w:rPr>
        <w:t xml:space="preserve"> 1</w:t>
      </w:r>
      <w:r>
        <w:rPr>
          <w:lang w:val="af-ZA"/>
        </w:rPr>
        <w:t>9</w:t>
      </w:r>
      <w:r w:rsidRPr="00A672CF">
        <w:rPr>
          <w:lang w:val="af-ZA"/>
        </w:rPr>
        <w:t xml:space="preserve">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>2470</w:t>
      </w:r>
      <w:r w:rsidRPr="00A672CF">
        <w:rPr>
          <w:lang w:val="af-ZA"/>
        </w:rPr>
        <w:t xml:space="preserve"> of </w:t>
      </w:r>
      <w:r>
        <w:rPr>
          <w:lang w:val="af-ZA"/>
        </w:rPr>
        <w:t>3 February 2015</w:t>
      </w:r>
      <w:r w:rsidRPr="00A672CF">
        <w:rPr>
          <w:lang w:val="af-ZA"/>
        </w:rPr>
        <w:t>) (p3)</w:t>
      </w:r>
    </w:p>
    <w:p w:rsidR="000E3120" w:rsidRDefault="000E3120" w:rsidP="000E3120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:rsidR="000E3120" w:rsidRDefault="000E3120" w:rsidP="00232829">
      <w:pPr>
        <w:pStyle w:val="LegText"/>
        <w:rPr>
          <w:b/>
        </w:rPr>
      </w:pPr>
      <w:r w:rsidRPr="00C8673F">
        <w:t xml:space="preserve">North West </w:t>
      </w:r>
      <w:r w:rsidRPr="00232829">
        <w:rPr>
          <w:lang w:val="af-ZA"/>
        </w:rPr>
        <w:t>Gambling</w:t>
      </w:r>
      <w:r w:rsidRPr="00C8673F">
        <w:t xml:space="preserve"> Act 2 of 2001:</w:t>
      </w:r>
      <w:r>
        <w:t xml:space="preserve"> Review Proceeding Regulations, 2014 published </w:t>
      </w:r>
      <w:r w:rsidR="00232829">
        <w:br/>
      </w:r>
      <w:r w:rsidRPr="002D0F9A">
        <w:t>(</w:t>
      </w:r>
      <w:r>
        <w:t>Gen</w:t>
      </w:r>
      <w:r w:rsidRPr="002D0F9A">
        <w:t xml:space="preserve">N </w:t>
      </w:r>
      <w:r>
        <w:t>31</w:t>
      </w:r>
      <w:r w:rsidRPr="002D0F9A">
        <w:t xml:space="preserve"> in </w:t>
      </w:r>
      <w:r w:rsidRPr="002D0F9A">
        <w:rPr>
          <w:i/>
        </w:rPr>
        <w:t>PG</w:t>
      </w:r>
      <w:r w:rsidRPr="002D0F9A">
        <w:t xml:space="preserve"> 73</w:t>
      </w:r>
      <w:r>
        <w:t>98</w:t>
      </w:r>
      <w:r w:rsidRPr="002D0F9A">
        <w:t xml:space="preserve"> of 2</w:t>
      </w:r>
      <w:r>
        <w:t>8</w:t>
      </w:r>
      <w:r w:rsidRPr="002D0F9A">
        <w:t xml:space="preserve"> </w:t>
      </w:r>
      <w:r>
        <w:t>January</w:t>
      </w:r>
      <w:r w:rsidRPr="002D0F9A">
        <w:t xml:space="preserve"> 201</w:t>
      </w:r>
      <w:r>
        <w:t>5</w:t>
      </w:r>
      <w:r w:rsidRPr="002D0F9A">
        <w:t>) (p2)</w:t>
      </w:r>
    </w:p>
    <w:p w:rsidR="000E3120" w:rsidRDefault="000E3120" w:rsidP="000E3120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:rsidR="000E3120" w:rsidRDefault="000E3120" w:rsidP="000E3120">
      <w:pPr>
        <w:pStyle w:val="LegText"/>
        <w:rPr>
          <w:lang w:val="af-ZA"/>
        </w:rPr>
      </w:pPr>
      <w:r>
        <w:rPr>
          <w:lang w:val="af-ZA"/>
        </w:rPr>
        <w:t xml:space="preserve">Western Cape Provincial School Education Act 12 of 1997: Draft Regulations on the Issuing of Performance Indicators Binding on Public Schools, 2014 published for comment </w:t>
      </w:r>
      <w:r>
        <w:rPr>
          <w:lang w:val="af-ZA"/>
        </w:rPr>
        <w:br/>
      </w:r>
      <w:r w:rsidRPr="00A672CF">
        <w:rPr>
          <w:lang w:val="af-ZA"/>
        </w:rPr>
        <w:t>(</w:t>
      </w:r>
      <w:r>
        <w:rPr>
          <w:lang w:val="af-ZA"/>
        </w:rPr>
        <w:t>PN</w:t>
      </w:r>
      <w:r w:rsidRPr="00A672CF">
        <w:rPr>
          <w:lang w:val="af-ZA"/>
        </w:rPr>
        <w:t xml:space="preserve"> </w:t>
      </w:r>
      <w:r>
        <w:rPr>
          <w:lang w:val="af-ZA"/>
        </w:rPr>
        <w:t>317</w:t>
      </w:r>
      <w:r w:rsidRPr="00A672CF">
        <w:rPr>
          <w:lang w:val="af-ZA"/>
        </w:rPr>
        <w:t xml:space="preserve">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>7335</w:t>
      </w:r>
      <w:r w:rsidRPr="00A672CF">
        <w:rPr>
          <w:lang w:val="af-ZA"/>
        </w:rPr>
        <w:t xml:space="preserve"> of </w:t>
      </w:r>
      <w:r>
        <w:rPr>
          <w:lang w:val="af-ZA"/>
        </w:rPr>
        <w:t>25 November</w:t>
      </w:r>
      <w:r w:rsidRPr="00A672CF">
        <w:rPr>
          <w:lang w:val="af-ZA"/>
        </w:rPr>
        <w:t xml:space="preserve"> 201</w:t>
      </w:r>
      <w:r>
        <w:rPr>
          <w:lang w:val="af-ZA"/>
        </w:rPr>
        <w:t>4</w:t>
      </w:r>
      <w:r w:rsidRPr="00A672CF">
        <w:rPr>
          <w:lang w:val="af-ZA"/>
        </w:rPr>
        <w:t>) (p</w:t>
      </w:r>
      <w:r>
        <w:rPr>
          <w:lang w:val="af-ZA"/>
        </w:rPr>
        <w:t>2</w:t>
      </w:r>
      <w:r w:rsidRPr="00A672CF">
        <w:rPr>
          <w:lang w:val="af-ZA"/>
        </w:rPr>
        <w:t>)</w:t>
      </w:r>
    </w:p>
    <w:p w:rsidR="000E3120" w:rsidRDefault="000E3120" w:rsidP="000E3120">
      <w:pPr>
        <w:pStyle w:val="LegText"/>
        <w:rPr>
          <w:lang w:val="af-ZA"/>
        </w:rPr>
      </w:pPr>
      <w:r w:rsidRPr="00A36312">
        <w:rPr>
          <w:lang w:val="af-ZA"/>
        </w:rPr>
        <w:t>National Environmental Management: Protected Areas Act 57 of 2003: Declaration of nature reserves</w:t>
      </w:r>
      <w:r>
        <w:rPr>
          <w:lang w:val="af-ZA"/>
        </w:rPr>
        <w:t xml:space="preserve"> and protected environment</w:t>
      </w:r>
      <w:r w:rsidRPr="00A36312">
        <w:rPr>
          <w:lang w:val="af-ZA"/>
        </w:rPr>
        <w:t xml:space="preserve">: </w:t>
      </w:r>
      <w:r>
        <w:rPr>
          <w:lang w:val="af-ZA"/>
        </w:rPr>
        <w:t xml:space="preserve">Skimmelberg Nature Reserve; Part of Wolwekop Nature Reserve; Towerland Wilderness Nature Reserve; Kleyn Hagelkraal Nature Reserve; and Grootwinterhoek Protected Environment </w:t>
      </w:r>
      <w:r w:rsidRPr="00A36312">
        <w:rPr>
          <w:lang w:val="af-ZA"/>
        </w:rPr>
        <w:t xml:space="preserve">published </w:t>
      </w:r>
      <w:r>
        <w:rPr>
          <w:lang w:val="af-ZA"/>
        </w:rPr>
        <w:br/>
      </w:r>
      <w:r w:rsidRPr="00A36312">
        <w:rPr>
          <w:lang w:val="af-ZA"/>
        </w:rPr>
        <w:t xml:space="preserve">(PNs </w:t>
      </w:r>
      <w:r>
        <w:rPr>
          <w:lang w:val="af-ZA"/>
        </w:rPr>
        <w:t>3-7</w:t>
      </w:r>
      <w:r w:rsidRPr="00A36312">
        <w:rPr>
          <w:lang w:val="af-ZA"/>
        </w:rPr>
        <w:t xml:space="preserve"> in </w:t>
      </w:r>
      <w:r w:rsidRPr="00A36312">
        <w:rPr>
          <w:i/>
          <w:lang w:val="af-ZA"/>
        </w:rPr>
        <w:t>PG</w:t>
      </w:r>
      <w:r w:rsidRPr="00A36312">
        <w:rPr>
          <w:lang w:val="af-ZA"/>
        </w:rPr>
        <w:t xml:space="preserve"> </w:t>
      </w:r>
      <w:r>
        <w:rPr>
          <w:lang w:val="af-ZA"/>
        </w:rPr>
        <w:t>7344</w:t>
      </w:r>
      <w:r w:rsidRPr="00A36312">
        <w:rPr>
          <w:lang w:val="af-ZA"/>
        </w:rPr>
        <w:t xml:space="preserve"> of </w:t>
      </w:r>
      <w:r>
        <w:rPr>
          <w:lang w:val="af-ZA"/>
        </w:rPr>
        <w:t>16 January</w:t>
      </w:r>
      <w:r w:rsidRPr="00A36312">
        <w:rPr>
          <w:lang w:val="af-ZA"/>
        </w:rPr>
        <w:t xml:space="preserve"> </w:t>
      </w:r>
      <w:r>
        <w:rPr>
          <w:lang w:val="af-ZA"/>
        </w:rPr>
        <w:t>2015</w:t>
      </w:r>
      <w:r w:rsidRPr="00A36312">
        <w:rPr>
          <w:lang w:val="af-ZA"/>
        </w:rPr>
        <w:t xml:space="preserve">) (pp </w:t>
      </w:r>
      <w:r>
        <w:rPr>
          <w:lang w:val="af-ZA"/>
        </w:rPr>
        <w:t>4, 7, 10, 13 &amp; 16)</w:t>
      </w:r>
    </w:p>
    <w:p w:rsidR="000E3120" w:rsidRDefault="000E3120" w:rsidP="000E3120">
      <w:pPr>
        <w:pStyle w:val="LegText"/>
        <w:rPr>
          <w:lang w:val="af-ZA"/>
        </w:rPr>
      </w:pPr>
      <w:r>
        <w:rPr>
          <w:lang w:val="af-ZA"/>
        </w:rPr>
        <w:t xml:space="preserve">National Land Transport Act 5 of 2009: Designation of an impoundment depot in Caledon published </w:t>
      </w:r>
      <w:r w:rsidRPr="00A672CF">
        <w:rPr>
          <w:lang w:val="af-ZA"/>
        </w:rPr>
        <w:t>(</w:t>
      </w:r>
      <w:r>
        <w:rPr>
          <w:lang w:val="af-ZA"/>
        </w:rPr>
        <w:t>PN</w:t>
      </w:r>
      <w:r w:rsidRPr="00A672CF">
        <w:rPr>
          <w:lang w:val="af-ZA"/>
        </w:rPr>
        <w:t xml:space="preserve"> </w:t>
      </w:r>
      <w:r>
        <w:rPr>
          <w:lang w:val="af-ZA"/>
        </w:rPr>
        <w:t>8</w:t>
      </w:r>
      <w:r w:rsidRPr="00A672CF">
        <w:rPr>
          <w:lang w:val="af-ZA"/>
        </w:rPr>
        <w:t xml:space="preserve"> in </w:t>
      </w:r>
      <w:r w:rsidRPr="00DA1FFE">
        <w:rPr>
          <w:i/>
          <w:lang w:val="af-ZA"/>
        </w:rPr>
        <w:t>PG</w:t>
      </w:r>
      <w:r w:rsidRPr="00A672CF">
        <w:rPr>
          <w:lang w:val="af-ZA"/>
        </w:rPr>
        <w:t xml:space="preserve"> </w:t>
      </w:r>
      <w:r>
        <w:rPr>
          <w:lang w:val="af-ZA"/>
        </w:rPr>
        <w:t xml:space="preserve">7344 </w:t>
      </w:r>
      <w:r w:rsidRPr="00A672CF">
        <w:rPr>
          <w:lang w:val="af-ZA"/>
        </w:rPr>
        <w:t xml:space="preserve">of </w:t>
      </w:r>
      <w:r>
        <w:rPr>
          <w:lang w:val="af-ZA"/>
        </w:rPr>
        <w:t>16 January</w:t>
      </w:r>
      <w:r w:rsidRPr="00A672CF">
        <w:rPr>
          <w:lang w:val="af-ZA"/>
        </w:rPr>
        <w:t xml:space="preserve"> 201</w:t>
      </w:r>
      <w:r>
        <w:rPr>
          <w:lang w:val="af-ZA"/>
        </w:rPr>
        <w:t>5</w:t>
      </w:r>
      <w:r w:rsidRPr="00A672CF">
        <w:rPr>
          <w:lang w:val="af-ZA"/>
        </w:rPr>
        <w:t>) (p</w:t>
      </w:r>
      <w:r>
        <w:rPr>
          <w:lang w:val="af-ZA"/>
        </w:rPr>
        <w:t>22</w:t>
      </w:r>
      <w:r w:rsidRPr="00A672CF">
        <w:rPr>
          <w:lang w:val="af-ZA"/>
        </w:rPr>
        <w:t>)</w:t>
      </w:r>
    </w:p>
    <w:p w:rsidR="000E3120" w:rsidRDefault="000E3120" w:rsidP="000E3120">
      <w:pPr>
        <w:pStyle w:val="LegText"/>
        <w:rPr>
          <w:lang w:val="af-ZA"/>
        </w:rPr>
      </w:pPr>
      <w:r w:rsidRPr="00805699">
        <w:rPr>
          <w:lang w:val="af-ZA"/>
        </w:rPr>
        <w:lastRenderedPageBreak/>
        <w:t xml:space="preserve">Nature Conservation Ordinance 19 of 1974: Hunting Seasons, daily bag limits and hunting by the use of prohibited hunting methods, 2015 published </w:t>
      </w:r>
      <w:r>
        <w:rPr>
          <w:lang w:val="af-ZA"/>
        </w:rPr>
        <w:br/>
      </w:r>
      <w:r w:rsidRPr="00805699">
        <w:rPr>
          <w:lang w:val="af-ZA"/>
        </w:rPr>
        <w:t xml:space="preserve">(PN </w:t>
      </w:r>
      <w:r>
        <w:rPr>
          <w:lang w:val="af-ZA"/>
        </w:rPr>
        <w:t>15</w:t>
      </w:r>
      <w:r w:rsidRPr="00805699">
        <w:rPr>
          <w:lang w:val="af-ZA"/>
        </w:rPr>
        <w:t xml:space="preserve"> in </w:t>
      </w:r>
      <w:r w:rsidRPr="00805699">
        <w:rPr>
          <w:i/>
          <w:lang w:val="af-ZA"/>
        </w:rPr>
        <w:t>PG</w:t>
      </w:r>
      <w:r w:rsidRPr="00805699">
        <w:rPr>
          <w:lang w:val="af-ZA"/>
        </w:rPr>
        <w:t xml:space="preserve"> </w:t>
      </w:r>
      <w:r>
        <w:rPr>
          <w:lang w:val="af-ZA"/>
        </w:rPr>
        <w:t>7345</w:t>
      </w:r>
      <w:r w:rsidRPr="00805699">
        <w:rPr>
          <w:lang w:val="af-ZA"/>
        </w:rPr>
        <w:t xml:space="preserve"> of </w:t>
      </w:r>
      <w:r>
        <w:rPr>
          <w:lang w:val="af-ZA"/>
        </w:rPr>
        <w:t>23</w:t>
      </w:r>
      <w:r w:rsidRPr="00805699">
        <w:rPr>
          <w:lang w:val="af-ZA"/>
        </w:rPr>
        <w:t xml:space="preserve"> </w:t>
      </w:r>
      <w:r>
        <w:rPr>
          <w:lang w:val="af-ZA"/>
        </w:rPr>
        <w:t>January</w:t>
      </w:r>
      <w:r w:rsidRPr="00805699">
        <w:rPr>
          <w:lang w:val="af-ZA"/>
        </w:rPr>
        <w:t xml:space="preserve"> 201</w:t>
      </w:r>
      <w:r>
        <w:rPr>
          <w:lang w:val="af-ZA"/>
        </w:rPr>
        <w:t>5</w:t>
      </w:r>
      <w:r w:rsidRPr="00805699">
        <w:rPr>
          <w:lang w:val="af-ZA"/>
        </w:rPr>
        <w:t>)</w:t>
      </w:r>
      <w:r>
        <w:rPr>
          <w:rStyle w:val="FootnoteReference"/>
          <w:b/>
          <w:lang w:val="af-ZA"/>
        </w:rPr>
        <w:footnoteReference w:id="1"/>
      </w:r>
      <w:r w:rsidRPr="00805699">
        <w:rPr>
          <w:lang w:val="af-ZA"/>
        </w:rPr>
        <w:t xml:space="preserve"> (p</w:t>
      </w:r>
      <w:r>
        <w:rPr>
          <w:lang w:val="af-ZA"/>
        </w:rPr>
        <w:t>53</w:t>
      </w:r>
      <w:r w:rsidRPr="00805699">
        <w:rPr>
          <w:lang w:val="af-ZA"/>
        </w:rPr>
        <w:t>)</w:t>
      </w:r>
    </w:p>
    <w:p w:rsidR="000E3120" w:rsidRPr="0030361B" w:rsidRDefault="000E3120" w:rsidP="000E3120">
      <w:pPr>
        <w:pStyle w:val="LegText"/>
        <w:rPr>
          <w:lang w:val="af-ZA"/>
        </w:rPr>
      </w:pPr>
      <w:r w:rsidRPr="003C6D11">
        <w:rPr>
          <w:lang w:val="af-ZA"/>
        </w:rPr>
        <w:t xml:space="preserve">Municipal Property Rates Act 6 of 2004: </w:t>
      </w:r>
      <w:r>
        <w:rPr>
          <w:lang w:val="af-ZA"/>
        </w:rPr>
        <w:t>Cape Agulhas Municipality: P</w:t>
      </w:r>
      <w:r w:rsidRPr="003C6D11">
        <w:rPr>
          <w:lang w:val="af-ZA"/>
        </w:rPr>
        <w:t xml:space="preserve">romulgation of Property </w:t>
      </w:r>
      <w:r>
        <w:rPr>
          <w:lang w:val="af-ZA"/>
        </w:rPr>
        <w:t>Tax Ra</w:t>
      </w:r>
      <w:r w:rsidRPr="003C6D11">
        <w:rPr>
          <w:lang w:val="af-ZA"/>
        </w:rPr>
        <w:t>tes</w:t>
      </w:r>
      <w:r>
        <w:rPr>
          <w:lang w:val="af-ZA"/>
        </w:rPr>
        <w:t xml:space="preserve"> </w:t>
      </w:r>
      <w:r w:rsidRPr="003C6D11">
        <w:rPr>
          <w:lang w:val="af-ZA"/>
        </w:rPr>
        <w:t>for the 201</w:t>
      </w:r>
      <w:r>
        <w:rPr>
          <w:lang w:val="af-ZA"/>
        </w:rPr>
        <w:t>4</w:t>
      </w:r>
      <w:r w:rsidRPr="003C6D11">
        <w:rPr>
          <w:lang w:val="af-ZA"/>
        </w:rPr>
        <w:t>/201</w:t>
      </w:r>
      <w:r>
        <w:rPr>
          <w:lang w:val="af-ZA"/>
        </w:rPr>
        <w:t>5</w:t>
      </w:r>
      <w:r w:rsidRPr="003C6D11">
        <w:rPr>
          <w:lang w:val="af-ZA"/>
        </w:rPr>
        <w:t xml:space="preserve"> financial year published </w:t>
      </w:r>
      <w:r w:rsidR="00232829">
        <w:rPr>
          <w:lang w:val="af-ZA"/>
        </w:rPr>
        <w:br/>
      </w:r>
      <w:r w:rsidRPr="003C6D11">
        <w:rPr>
          <w:lang w:val="af-ZA"/>
        </w:rPr>
        <w:t xml:space="preserve">(LAN </w:t>
      </w:r>
      <w:r>
        <w:rPr>
          <w:lang w:val="af-ZA"/>
        </w:rPr>
        <w:t>55629</w:t>
      </w:r>
      <w:r w:rsidRPr="003C6D11">
        <w:rPr>
          <w:lang w:val="af-ZA"/>
        </w:rPr>
        <w:t xml:space="preserve"> in </w:t>
      </w:r>
      <w:r w:rsidRPr="003C6D11">
        <w:rPr>
          <w:i/>
          <w:lang w:val="af-ZA"/>
        </w:rPr>
        <w:t>PG</w:t>
      </w:r>
      <w:r w:rsidRPr="003C6D11">
        <w:rPr>
          <w:lang w:val="af-ZA"/>
        </w:rPr>
        <w:t xml:space="preserve"> </w:t>
      </w:r>
      <w:r>
        <w:rPr>
          <w:lang w:val="af-ZA"/>
        </w:rPr>
        <w:t>7348</w:t>
      </w:r>
      <w:r w:rsidRPr="003C6D11">
        <w:rPr>
          <w:lang w:val="af-ZA"/>
        </w:rPr>
        <w:t xml:space="preserve"> of </w:t>
      </w:r>
      <w:r>
        <w:rPr>
          <w:lang w:val="af-ZA"/>
        </w:rPr>
        <w:t>30 January 2015</w:t>
      </w:r>
      <w:r w:rsidRPr="003C6D11">
        <w:rPr>
          <w:lang w:val="af-ZA"/>
        </w:rPr>
        <w:t>) (p</w:t>
      </w:r>
      <w:r>
        <w:rPr>
          <w:lang w:val="af-ZA"/>
        </w:rPr>
        <w:t>97</w:t>
      </w:r>
      <w:r w:rsidRPr="003C6D11">
        <w:rPr>
          <w:lang w:val="af-ZA"/>
        </w:rPr>
        <w:t>)</w:t>
      </w:r>
    </w:p>
    <w:p w:rsidR="00924A87" w:rsidRPr="00E74068" w:rsidRDefault="00042A95" w:rsidP="00D00DF0">
      <w:pPr>
        <w:pStyle w:val="LegHeadCenteredBoldItalic"/>
      </w:pPr>
      <w:r w:rsidRPr="00500AC0">
        <w:t xml:space="preserve">This information is also available on the daily legalbrief at </w:t>
      </w:r>
      <w:hyperlink r:id="rId9" w:history="1">
        <w:r w:rsidRPr="00500AC0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0E3120" w:rsidRDefault="000E3120" w:rsidP="000E3120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805699">
        <w:t xml:space="preserve">Also published under </w:t>
      </w:r>
      <w:r>
        <w:t>PN</w:t>
      </w:r>
      <w:r w:rsidRPr="00805699">
        <w:t xml:space="preserve"> </w:t>
      </w:r>
      <w:r>
        <w:t>324</w:t>
      </w:r>
      <w:r w:rsidRPr="00805699">
        <w:t xml:space="preserve"> in </w:t>
      </w:r>
      <w:r w:rsidRPr="00805699">
        <w:rPr>
          <w:i/>
        </w:rPr>
        <w:t>PG</w:t>
      </w:r>
      <w:r w:rsidRPr="00805699">
        <w:t xml:space="preserve"> </w:t>
      </w:r>
      <w:r>
        <w:t>7338</w:t>
      </w:r>
      <w:r w:rsidRPr="00805699">
        <w:t xml:space="preserve"> of </w:t>
      </w:r>
      <w:r>
        <w:t>5</w:t>
      </w:r>
      <w:r w:rsidRPr="00805699">
        <w:t xml:space="preserve"> </w:t>
      </w:r>
      <w:r>
        <w:t>December</w:t>
      </w:r>
      <w:r w:rsidRPr="00805699">
        <w:t xml:space="preserve"> 201</w:t>
      </w:r>
      <w:r>
        <w:t>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607D3E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9F5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97D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2902"/>
    <w:rsid w:val="00202C1D"/>
    <w:rsid w:val="00203AD8"/>
    <w:rsid w:val="00203DFB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847"/>
    <w:rsid w:val="00311A5B"/>
    <w:rsid w:val="00312022"/>
    <w:rsid w:val="003124F5"/>
    <w:rsid w:val="00312571"/>
    <w:rsid w:val="0031267C"/>
    <w:rsid w:val="00312D7D"/>
    <w:rsid w:val="00313944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1F81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044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E7E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AE2"/>
    <w:rsid w:val="005E4D98"/>
    <w:rsid w:val="005E53A4"/>
    <w:rsid w:val="005E57B2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DD7"/>
    <w:rsid w:val="006C1F88"/>
    <w:rsid w:val="006C22C1"/>
    <w:rsid w:val="006C28E4"/>
    <w:rsid w:val="006C2CD7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4B04"/>
    <w:rsid w:val="008B518B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6424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2C9D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4A5F"/>
    <w:rsid w:val="00B25531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80D2D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1C9D"/>
    <w:rsid w:val="00F31D30"/>
    <w:rsid w:val="00F32467"/>
    <w:rsid w:val="00F32785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E567-9FC2-4E66-8AA4-3D0BE2D3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3636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nadams</cp:lastModifiedBy>
  <cp:revision>336</cp:revision>
  <cp:lastPrinted>2015-01-02T07:31:00Z</cp:lastPrinted>
  <dcterms:created xsi:type="dcterms:W3CDTF">2014-10-24T11:27:00Z</dcterms:created>
  <dcterms:modified xsi:type="dcterms:W3CDTF">2015-02-06T13:36:00Z</dcterms:modified>
</cp:coreProperties>
</file>