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6706" w:rsidRPr="009D0BCC" w:rsidRDefault="00456706" w:rsidP="0038565B">
      <w:pPr>
        <w:autoSpaceDE w:val="0"/>
        <w:autoSpaceDN w:val="0"/>
        <w:adjustRightInd w:val="0"/>
        <w:spacing w:line="240" w:lineRule="atLeast"/>
        <w:jc w:val="both"/>
        <w:rPr>
          <w:rFonts w:ascii="Verdana" w:hAnsi="Verdana" w:cs="Arial"/>
          <w:b/>
          <w:color w:val="4BACC6"/>
          <w:sz w:val="18"/>
          <w:szCs w:val="18"/>
          <w:lang w:eastAsia="en-ZA"/>
        </w:rPr>
      </w:pPr>
    </w:p>
    <w:p w:rsidR="00714E1A" w:rsidRPr="009D0BCC" w:rsidRDefault="00714E1A" w:rsidP="0038565B">
      <w:pPr>
        <w:autoSpaceDE w:val="0"/>
        <w:autoSpaceDN w:val="0"/>
        <w:adjustRightInd w:val="0"/>
        <w:spacing w:line="240" w:lineRule="atLeast"/>
        <w:jc w:val="both"/>
        <w:rPr>
          <w:rFonts w:ascii="Verdana" w:hAnsi="Verdana" w:cs="Arial"/>
          <w:b/>
          <w:color w:val="31849B"/>
          <w:sz w:val="18"/>
          <w:szCs w:val="18"/>
          <w:lang w:eastAsia="en-ZA"/>
        </w:rPr>
      </w:pPr>
    </w:p>
    <w:p w:rsidR="00714E1A" w:rsidRPr="009D0BCC" w:rsidRDefault="00714E1A" w:rsidP="0038565B">
      <w:pPr>
        <w:autoSpaceDE w:val="0"/>
        <w:autoSpaceDN w:val="0"/>
        <w:adjustRightInd w:val="0"/>
        <w:spacing w:line="240" w:lineRule="atLeast"/>
        <w:jc w:val="center"/>
        <w:rPr>
          <w:rFonts w:ascii="Verdana" w:hAnsi="Verdana" w:cs="Arial"/>
          <w:b/>
          <w:color w:val="31849B"/>
          <w:sz w:val="18"/>
          <w:szCs w:val="18"/>
          <w:lang w:eastAsia="en-ZA"/>
        </w:rPr>
      </w:pPr>
    </w:p>
    <w:p w:rsidR="00F00009" w:rsidRDefault="00287E62" w:rsidP="0038565B">
      <w:pPr>
        <w:autoSpaceDE w:val="0"/>
        <w:autoSpaceDN w:val="0"/>
        <w:adjustRightInd w:val="0"/>
        <w:spacing w:line="240" w:lineRule="atLeast"/>
        <w:jc w:val="center"/>
        <w:rPr>
          <w:rFonts w:ascii="Verdana" w:hAnsi="Verdana" w:cs="Arial"/>
          <w:b/>
          <w:color w:val="31849B"/>
          <w:sz w:val="32"/>
          <w:szCs w:val="32"/>
          <w:lang w:eastAsia="en-ZA"/>
        </w:rPr>
      </w:pPr>
      <w:r>
        <w:rPr>
          <w:rFonts w:ascii="Verdana" w:hAnsi="Verdana" w:cs="Arial"/>
          <w:b/>
          <w:color w:val="31849B"/>
          <w:sz w:val="32"/>
          <w:szCs w:val="32"/>
          <w:lang w:eastAsia="en-ZA"/>
        </w:rPr>
        <w:t>INDUSTRIAL LAW JOURNAL PREVIEW</w:t>
      </w:r>
    </w:p>
    <w:p w:rsidR="00287E62" w:rsidRDefault="00287E62" w:rsidP="0038565B">
      <w:pPr>
        <w:autoSpaceDE w:val="0"/>
        <w:autoSpaceDN w:val="0"/>
        <w:adjustRightInd w:val="0"/>
        <w:spacing w:line="240" w:lineRule="atLeast"/>
        <w:jc w:val="center"/>
        <w:rPr>
          <w:rFonts w:ascii="Verdana" w:hAnsi="Verdana" w:cs="Arial"/>
          <w:b/>
          <w:color w:val="31849B"/>
          <w:sz w:val="32"/>
          <w:szCs w:val="32"/>
          <w:lang w:eastAsia="en-ZA"/>
        </w:rPr>
      </w:pPr>
    </w:p>
    <w:p w:rsidR="00287E62" w:rsidRPr="00287E62" w:rsidRDefault="00287E62" w:rsidP="0038565B">
      <w:pPr>
        <w:autoSpaceDE w:val="0"/>
        <w:autoSpaceDN w:val="0"/>
        <w:adjustRightInd w:val="0"/>
        <w:spacing w:line="240" w:lineRule="atLeast"/>
        <w:jc w:val="center"/>
        <w:rPr>
          <w:rFonts w:ascii="Verdana" w:hAnsi="Verdana" w:cs="Arial"/>
          <w:color w:val="31849B"/>
          <w:sz w:val="32"/>
          <w:szCs w:val="32"/>
          <w:lang w:eastAsia="en-ZA"/>
        </w:rPr>
      </w:pPr>
      <w:r>
        <w:rPr>
          <w:rFonts w:ascii="Verdana" w:hAnsi="Verdana" w:cs="Arial"/>
          <w:color w:val="31849B"/>
          <w:sz w:val="32"/>
          <w:szCs w:val="32"/>
          <w:lang w:eastAsia="en-ZA"/>
        </w:rPr>
        <w:t>VOLUME 3</w:t>
      </w:r>
      <w:r w:rsidR="0042481A">
        <w:rPr>
          <w:rFonts w:ascii="Verdana" w:hAnsi="Verdana" w:cs="Arial"/>
          <w:color w:val="31849B"/>
          <w:sz w:val="32"/>
          <w:szCs w:val="32"/>
          <w:lang w:eastAsia="en-ZA"/>
        </w:rPr>
        <w:t>5</w:t>
      </w:r>
    </w:p>
    <w:p w:rsidR="000B0DB2" w:rsidRPr="006B12D4" w:rsidRDefault="000B0DB2" w:rsidP="0038565B">
      <w:pPr>
        <w:autoSpaceDE w:val="0"/>
        <w:autoSpaceDN w:val="0"/>
        <w:adjustRightInd w:val="0"/>
        <w:spacing w:line="240" w:lineRule="atLeast"/>
        <w:jc w:val="center"/>
        <w:rPr>
          <w:rFonts w:ascii="Verdana" w:hAnsi="Verdana" w:cs="Arial"/>
          <w:b/>
          <w:color w:val="31849B"/>
          <w:sz w:val="32"/>
          <w:szCs w:val="32"/>
          <w:lang w:eastAsia="en-ZA"/>
        </w:rPr>
      </w:pPr>
    </w:p>
    <w:p w:rsidR="00F00009" w:rsidRPr="006B12D4" w:rsidRDefault="00AF65E8" w:rsidP="0038565B">
      <w:pPr>
        <w:autoSpaceDE w:val="0"/>
        <w:autoSpaceDN w:val="0"/>
        <w:adjustRightInd w:val="0"/>
        <w:spacing w:line="240" w:lineRule="atLeast"/>
        <w:jc w:val="center"/>
        <w:rPr>
          <w:rFonts w:ascii="Verdana" w:hAnsi="Verdana" w:cs="Arial"/>
          <w:color w:val="31849B"/>
          <w:sz w:val="32"/>
          <w:szCs w:val="32"/>
          <w:lang w:eastAsia="en-ZA"/>
        </w:rPr>
      </w:pPr>
      <w:r>
        <w:rPr>
          <w:rFonts w:ascii="Verdana" w:hAnsi="Verdana" w:cs="Arial"/>
          <w:color w:val="31849B"/>
          <w:sz w:val="32"/>
          <w:szCs w:val="32"/>
          <w:lang w:eastAsia="en-ZA"/>
        </w:rPr>
        <w:t>DEC</w:t>
      </w:r>
      <w:r w:rsidR="00A32526">
        <w:rPr>
          <w:rFonts w:ascii="Verdana" w:hAnsi="Verdana" w:cs="Arial"/>
          <w:color w:val="31849B"/>
          <w:sz w:val="32"/>
          <w:szCs w:val="32"/>
          <w:lang w:eastAsia="en-ZA"/>
        </w:rPr>
        <w:t xml:space="preserve">EMBER </w:t>
      </w:r>
      <w:r w:rsidR="00085C63" w:rsidRPr="006B12D4">
        <w:rPr>
          <w:rFonts w:ascii="Verdana" w:hAnsi="Verdana" w:cs="Arial"/>
          <w:color w:val="31849B"/>
          <w:sz w:val="32"/>
          <w:szCs w:val="32"/>
          <w:lang w:eastAsia="en-ZA"/>
        </w:rPr>
        <w:t>201</w:t>
      </w:r>
      <w:r w:rsidR="0042481A">
        <w:rPr>
          <w:rFonts w:ascii="Verdana" w:hAnsi="Verdana" w:cs="Arial"/>
          <w:color w:val="31849B"/>
          <w:sz w:val="32"/>
          <w:szCs w:val="32"/>
          <w:lang w:eastAsia="en-ZA"/>
        </w:rPr>
        <w:t>4</w:t>
      </w:r>
    </w:p>
    <w:p w:rsidR="00AD11DF" w:rsidRPr="009D0BCC" w:rsidRDefault="00AD11DF" w:rsidP="0038565B">
      <w:pPr>
        <w:autoSpaceDE w:val="0"/>
        <w:autoSpaceDN w:val="0"/>
        <w:adjustRightInd w:val="0"/>
        <w:spacing w:line="240" w:lineRule="atLeast"/>
        <w:jc w:val="both"/>
        <w:rPr>
          <w:rFonts w:ascii="Verdana" w:hAnsi="Verdana" w:cs="Arial"/>
          <w:b/>
          <w:color w:val="4BACC6"/>
          <w:sz w:val="18"/>
          <w:szCs w:val="18"/>
          <w:lang w:eastAsia="en-ZA"/>
        </w:rPr>
      </w:pPr>
    </w:p>
    <w:p w:rsidR="00714E1A" w:rsidRPr="009D0BCC" w:rsidRDefault="00714E1A" w:rsidP="0038565B">
      <w:pPr>
        <w:autoSpaceDE w:val="0"/>
        <w:autoSpaceDN w:val="0"/>
        <w:adjustRightInd w:val="0"/>
        <w:spacing w:line="240" w:lineRule="atLeast"/>
        <w:jc w:val="both"/>
        <w:rPr>
          <w:rFonts w:ascii="Verdana" w:hAnsi="Verdana" w:cs="Arial"/>
          <w:b/>
          <w:color w:val="4BACC6"/>
          <w:sz w:val="18"/>
          <w:szCs w:val="18"/>
          <w:lang w:eastAsia="en-ZA"/>
        </w:rPr>
      </w:pPr>
    </w:p>
    <w:p w:rsidR="00456706" w:rsidRPr="00FE2EE5" w:rsidRDefault="00456706" w:rsidP="0038565B">
      <w:pPr>
        <w:autoSpaceDE w:val="0"/>
        <w:autoSpaceDN w:val="0"/>
        <w:adjustRightInd w:val="0"/>
        <w:spacing w:line="240" w:lineRule="atLeast"/>
        <w:jc w:val="both"/>
        <w:rPr>
          <w:rFonts w:ascii="Verdana" w:hAnsi="Verdana" w:cs="Arial"/>
          <w:b/>
          <w:color w:val="4BACC6"/>
          <w:sz w:val="18"/>
          <w:szCs w:val="18"/>
          <w:lang w:eastAsia="en-ZA"/>
        </w:rPr>
      </w:pPr>
    </w:p>
    <w:p w:rsidR="00287E62" w:rsidRPr="00EE6807" w:rsidRDefault="00287E62" w:rsidP="0038565B">
      <w:pPr>
        <w:spacing w:line="240" w:lineRule="atLeast"/>
        <w:jc w:val="both"/>
        <w:rPr>
          <w:rFonts w:ascii="Verdana" w:hAnsi="Verdana"/>
          <w:sz w:val="18"/>
          <w:szCs w:val="18"/>
        </w:rPr>
      </w:pPr>
      <w:r w:rsidRPr="00EE6807">
        <w:rPr>
          <w:rStyle w:val="Strong"/>
          <w:rFonts w:ascii="Verdana" w:hAnsi="Verdana"/>
          <w:sz w:val="18"/>
          <w:szCs w:val="18"/>
        </w:rPr>
        <w:t xml:space="preserve">Dear </w:t>
      </w:r>
      <w:r w:rsidRPr="00EE6807">
        <w:rPr>
          <w:rStyle w:val="Strong"/>
          <w:rFonts w:ascii="Verdana" w:hAnsi="Verdana"/>
          <w:i/>
          <w:sz w:val="18"/>
          <w:szCs w:val="18"/>
        </w:rPr>
        <w:t>Industrial Law Journal</w:t>
      </w:r>
      <w:r w:rsidRPr="00EE6807">
        <w:rPr>
          <w:rStyle w:val="Strong"/>
          <w:rFonts w:ascii="Verdana" w:hAnsi="Verdana"/>
          <w:sz w:val="18"/>
          <w:szCs w:val="18"/>
        </w:rPr>
        <w:t xml:space="preserve"> Subscriber</w:t>
      </w:r>
    </w:p>
    <w:p w:rsidR="00287E62" w:rsidRPr="00EE6807" w:rsidRDefault="00287E62" w:rsidP="0038565B">
      <w:pPr>
        <w:spacing w:line="240" w:lineRule="atLeast"/>
        <w:jc w:val="both"/>
        <w:rPr>
          <w:rFonts w:ascii="Verdana" w:hAnsi="Verdana"/>
          <w:sz w:val="18"/>
          <w:szCs w:val="18"/>
        </w:rPr>
      </w:pPr>
      <w:r w:rsidRPr="00EE6807">
        <w:rPr>
          <w:rFonts w:ascii="Verdana" w:hAnsi="Verdana"/>
          <w:sz w:val="18"/>
          <w:szCs w:val="18"/>
        </w:rPr>
        <w:t> </w:t>
      </w:r>
    </w:p>
    <w:p w:rsidR="00EE6807" w:rsidRPr="00EE6807" w:rsidRDefault="00287E62" w:rsidP="00EE6807">
      <w:pPr>
        <w:spacing w:line="240" w:lineRule="atLeast"/>
        <w:jc w:val="both"/>
        <w:rPr>
          <w:rFonts w:ascii="Verdana" w:hAnsi="Verdana"/>
          <w:sz w:val="18"/>
          <w:szCs w:val="18"/>
        </w:rPr>
      </w:pPr>
      <w:r w:rsidRPr="00EE6807">
        <w:rPr>
          <w:rFonts w:ascii="Verdana" w:hAnsi="Verdana"/>
          <w:sz w:val="18"/>
          <w:szCs w:val="18"/>
        </w:rPr>
        <w:t xml:space="preserve">We take pleasure in presenting the </w:t>
      </w:r>
      <w:r w:rsidR="00AF65E8">
        <w:rPr>
          <w:rFonts w:ascii="Verdana" w:hAnsi="Verdana"/>
          <w:sz w:val="18"/>
          <w:szCs w:val="18"/>
        </w:rPr>
        <w:t>Dec</w:t>
      </w:r>
      <w:r w:rsidR="00A32526">
        <w:rPr>
          <w:rFonts w:ascii="Verdana" w:hAnsi="Verdana"/>
          <w:sz w:val="18"/>
          <w:szCs w:val="18"/>
        </w:rPr>
        <w:t>ember</w:t>
      </w:r>
      <w:r w:rsidR="0042481A" w:rsidRPr="00EE6807">
        <w:rPr>
          <w:rFonts w:ascii="Verdana" w:hAnsi="Verdana"/>
          <w:sz w:val="18"/>
          <w:szCs w:val="18"/>
        </w:rPr>
        <w:t xml:space="preserve"> </w:t>
      </w:r>
      <w:r w:rsidRPr="00EE6807">
        <w:rPr>
          <w:rFonts w:ascii="Verdana" w:hAnsi="Verdana"/>
          <w:sz w:val="18"/>
          <w:szCs w:val="18"/>
        </w:rPr>
        <w:t>201</w:t>
      </w:r>
      <w:r w:rsidR="0042481A" w:rsidRPr="00EE6807">
        <w:rPr>
          <w:rFonts w:ascii="Verdana" w:hAnsi="Verdana"/>
          <w:sz w:val="18"/>
          <w:szCs w:val="18"/>
        </w:rPr>
        <w:t>4</w:t>
      </w:r>
      <w:r w:rsidRPr="00EE6807">
        <w:rPr>
          <w:rFonts w:ascii="Verdana" w:hAnsi="Verdana"/>
          <w:sz w:val="18"/>
          <w:szCs w:val="18"/>
        </w:rPr>
        <w:t xml:space="preserve"> issue of the monthly </w:t>
      </w:r>
      <w:r w:rsidRPr="00EE6807">
        <w:rPr>
          <w:rStyle w:val="Emphasis"/>
          <w:rFonts w:ascii="Verdana" w:hAnsi="Verdana"/>
          <w:sz w:val="18"/>
          <w:szCs w:val="18"/>
        </w:rPr>
        <w:t>Industrial Law Journal Preview</w:t>
      </w:r>
      <w:r w:rsidRPr="00EE6807">
        <w:rPr>
          <w:rFonts w:ascii="Verdana" w:hAnsi="Verdana"/>
          <w:sz w:val="18"/>
          <w:szCs w:val="18"/>
        </w:rPr>
        <w:t xml:space="preserve">, authored by the editors of the </w:t>
      </w:r>
      <w:r w:rsidRPr="00EE6807">
        <w:rPr>
          <w:rFonts w:ascii="Verdana" w:hAnsi="Verdana"/>
          <w:i/>
          <w:sz w:val="18"/>
          <w:szCs w:val="18"/>
        </w:rPr>
        <w:t>ILJ</w:t>
      </w:r>
      <w:r w:rsidRPr="00EE6807">
        <w:rPr>
          <w:rFonts w:ascii="Verdana" w:hAnsi="Verdana"/>
          <w:sz w:val="18"/>
          <w:szCs w:val="18"/>
        </w:rPr>
        <w:t xml:space="preserve">: C Cooper, A Landman, C Vosloo and L Williams-de Beer. </w:t>
      </w:r>
      <w:r w:rsidR="00EE6807" w:rsidRPr="00EE6807">
        <w:rPr>
          <w:rFonts w:ascii="Verdana" w:hAnsi="Verdana"/>
          <w:sz w:val="18"/>
          <w:szCs w:val="18"/>
        </w:rPr>
        <w:t xml:space="preserve"> </w:t>
      </w:r>
    </w:p>
    <w:p w:rsidR="00287E62" w:rsidRPr="00EE6807" w:rsidRDefault="00287E62" w:rsidP="0038565B">
      <w:pPr>
        <w:spacing w:line="240" w:lineRule="atLeast"/>
        <w:jc w:val="both"/>
        <w:rPr>
          <w:rFonts w:ascii="Verdana" w:hAnsi="Verdana"/>
          <w:sz w:val="18"/>
          <w:szCs w:val="18"/>
        </w:rPr>
      </w:pPr>
    </w:p>
    <w:p w:rsidR="00287E62" w:rsidRPr="00DC723F" w:rsidRDefault="00EB0CDF" w:rsidP="0038565B">
      <w:pPr>
        <w:spacing w:line="240" w:lineRule="atLeast"/>
        <w:jc w:val="both"/>
        <w:rPr>
          <w:rFonts w:ascii="Verdana" w:hAnsi="Verdana"/>
          <w:b/>
          <w:sz w:val="18"/>
          <w:szCs w:val="18"/>
        </w:rPr>
      </w:pPr>
      <w:r w:rsidRPr="00DC723F">
        <w:rPr>
          <w:rStyle w:val="Strong"/>
          <w:rFonts w:ascii="Verdana" w:hAnsi="Verdana"/>
          <w:b w:val="0"/>
          <w:sz w:val="18"/>
          <w:szCs w:val="18"/>
        </w:rPr>
        <w:t>Please note: </w:t>
      </w:r>
      <w:r w:rsidRPr="00DC723F">
        <w:rPr>
          <w:rFonts w:ascii="Verdana" w:hAnsi="Verdana"/>
          <w:b/>
          <w:sz w:val="18"/>
          <w:szCs w:val="18"/>
        </w:rPr>
        <w:t xml:space="preserve"> </w:t>
      </w:r>
      <w:r w:rsidRPr="00DC723F">
        <w:rPr>
          <w:rStyle w:val="Strong"/>
          <w:rFonts w:ascii="Verdana" w:hAnsi="Verdana"/>
          <w:b w:val="0"/>
          <w:sz w:val="18"/>
          <w:szCs w:val="18"/>
        </w:rPr>
        <w:t>This newsletter serves as a preview of the printed and the electronic</w:t>
      </w:r>
      <w:r w:rsidR="00DC723F">
        <w:rPr>
          <w:rStyle w:val="Strong"/>
          <w:rFonts w:ascii="Verdana" w:hAnsi="Verdana"/>
          <w:b w:val="0"/>
          <w:sz w:val="18"/>
          <w:szCs w:val="18"/>
        </w:rPr>
        <w:t xml:space="preserve"> </w:t>
      </w:r>
      <w:r w:rsidR="00DC723F" w:rsidRPr="00DC723F">
        <w:rPr>
          <w:rStyle w:val="Strong"/>
          <w:rFonts w:ascii="Verdana" w:hAnsi="Verdana"/>
          <w:b w:val="0"/>
          <w:i/>
          <w:sz w:val="18"/>
          <w:szCs w:val="18"/>
        </w:rPr>
        <w:t>Industrial Law Journal</w:t>
      </w:r>
      <w:r w:rsidRPr="00DC723F">
        <w:rPr>
          <w:rStyle w:val="Strong"/>
          <w:rFonts w:ascii="Verdana" w:hAnsi="Verdana"/>
          <w:b w:val="0"/>
          <w:sz w:val="18"/>
          <w:szCs w:val="18"/>
        </w:rPr>
        <w:t>. At the time of this dissemination, the full-length cases and determinations are still being prepared for publication in the</w:t>
      </w:r>
      <w:r w:rsidR="00DC723F">
        <w:rPr>
          <w:rStyle w:val="Strong"/>
          <w:rFonts w:ascii="Verdana" w:hAnsi="Verdana"/>
          <w:b w:val="0"/>
          <w:sz w:val="18"/>
          <w:szCs w:val="18"/>
        </w:rPr>
        <w:t xml:space="preserve"> </w:t>
      </w:r>
      <w:r w:rsidR="00DC723F" w:rsidRPr="00DC723F">
        <w:rPr>
          <w:rStyle w:val="Strong"/>
          <w:rFonts w:ascii="Verdana" w:hAnsi="Verdana"/>
          <w:b w:val="0"/>
          <w:i/>
          <w:sz w:val="18"/>
          <w:szCs w:val="18"/>
        </w:rPr>
        <w:t>Industrial Law Journal</w:t>
      </w:r>
      <w:r w:rsidRPr="00DC723F">
        <w:rPr>
          <w:rStyle w:val="Strong"/>
          <w:rFonts w:ascii="Verdana" w:hAnsi="Verdana"/>
          <w:b w:val="0"/>
          <w:sz w:val="18"/>
          <w:szCs w:val="18"/>
        </w:rPr>
        <w:t>. The material mentioned in this newsletter only becomes available to subscribers when the</w:t>
      </w:r>
      <w:r w:rsidR="00DC723F">
        <w:rPr>
          <w:rStyle w:val="Strong"/>
          <w:rFonts w:ascii="Verdana" w:hAnsi="Verdana"/>
          <w:b w:val="0"/>
          <w:sz w:val="18"/>
          <w:szCs w:val="18"/>
        </w:rPr>
        <w:t xml:space="preserve"> </w:t>
      </w:r>
      <w:r w:rsidR="00DC723F" w:rsidRPr="00DC723F">
        <w:rPr>
          <w:rStyle w:val="Strong"/>
          <w:rFonts w:ascii="Verdana" w:hAnsi="Verdana"/>
          <w:b w:val="0"/>
          <w:i/>
          <w:sz w:val="18"/>
          <w:szCs w:val="18"/>
        </w:rPr>
        <w:t>Industrial Law Journal</w:t>
      </w:r>
      <w:r w:rsidRPr="00DC723F">
        <w:rPr>
          <w:rStyle w:val="Strong"/>
          <w:rFonts w:ascii="Verdana" w:hAnsi="Verdana"/>
          <w:b w:val="0"/>
          <w:sz w:val="18"/>
          <w:szCs w:val="18"/>
        </w:rPr>
        <w:t xml:space="preserve"> is published.</w:t>
      </w:r>
    </w:p>
    <w:p w:rsidR="00287E62" w:rsidRPr="00EE6807" w:rsidRDefault="00287E62" w:rsidP="0038565B">
      <w:pPr>
        <w:spacing w:line="240" w:lineRule="atLeast"/>
        <w:jc w:val="both"/>
        <w:rPr>
          <w:rFonts w:ascii="Verdana" w:hAnsi="Verdana"/>
          <w:sz w:val="18"/>
          <w:szCs w:val="18"/>
        </w:rPr>
      </w:pPr>
      <w:r w:rsidRPr="00EE6807">
        <w:rPr>
          <w:rFonts w:ascii="Verdana" w:hAnsi="Verdana"/>
          <w:sz w:val="18"/>
          <w:szCs w:val="18"/>
        </w:rPr>
        <w:t> </w:t>
      </w:r>
    </w:p>
    <w:p w:rsidR="00287E62" w:rsidRPr="00EE6807" w:rsidRDefault="00287E62" w:rsidP="0038565B">
      <w:pPr>
        <w:spacing w:line="240" w:lineRule="atLeast"/>
        <w:jc w:val="both"/>
        <w:rPr>
          <w:rFonts w:ascii="Verdana" w:hAnsi="Verdana"/>
          <w:sz w:val="18"/>
          <w:szCs w:val="18"/>
        </w:rPr>
      </w:pPr>
      <w:r w:rsidRPr="00EE6807">
        <w:rPr>
          <w:rFonts w:ascii="Verdana" w:hAnsi="Verdana"/>
          <w:sz w:val="18"/>
          <w:szCs w:val="18"/>
        </w:rPr>
        <w:t xml:space="preserve">Please forward any comments and suggestions regarding the </w:t>
      </w:r>
      <w:r w:rsidRPr="00EE6807">
        <w:rPr>
          <w:rFonts w:ascii="Verdana" w:hAnsi="Verdana"/>
          <w:i/>
          <w:sz w:val="18"/>
          <w:szCs w:val="18"/>
        </w:rPr>
        <w:t>Industrial Law Journal</w:t>
      </w:r>
      <w:r w:rsidRPr="00EE6807">
        <w:rPr>
          <w:rFonts w:ascii="Verdana" w:hAnsi="Verdana"/>
          <w:sz w:val="18"/>
          <w:szCs w:val="18"/>
        </w:rPr>
        <w:t xml:space="preserve"> preview to the publisher, Anita Kleinsmidt, </w:t>
      </w:r>
      <w:hyperlink r:id="rId8" w:history="1">
        <w:r w:rsidRPr="00EE6807">
          <w:rPr>
            <w:rStyle w:val="Hyperlink"/>
            <w:rFonts w:ascii="Verdana" w:hAnsi="Verdana"/>
            <w:sz w:val="18"/>
            <w:szCs w:val="18"/>
          </w:rPr>
          <w:t>akleinsmidt@juta.co.za</w:t>
        </w:r>
      </w:hyperlink>
      <w:r w:rsidRPr="00EE6807">
        <w:rPr>
          <w:rFonts w:ascii="Verdana" w:hAnsi="Verdana"/>
          <w:sz w:val="18"/>
          <w:szCs w:val="18"/>
        </w:rPr>
        <w:t> </w:t>
      </w:r>
    </w:p>
    <w:p w:rsidR="00EE6807" w:rsidRPr="00EE6807" w:rsidRDefault="00EE6807" w:rsidP="0038565B">
      <w:pPr>
        <w:spacing w:line="240" w:lineRule="atLeast"/>
        <w:jc w:val="both"/>
        <w:rPr>
          <w:rFonts w:ascii="Verdana" w:hAnsi="Verdana"/>
          <w:sz w:val="18"/>
          <w:szCs w:val="18"/>
        </w:rPr>
      </w:pPr>
    </w:p>
    <w:p w:rsidR="00EE6807" w:rsidRPr="00886024" w:rsidRDefault="00EE6807" w:rsidP="00EE6807">
      <w:pPr>
        <w:spacing w:after="200"/>
        <w:rPr>
          <w:rFonts w:ascii="Verdana" w:hAnsi="Verdana"/>
          <w:b/>
          <w:sz w:val="18"/>
          <w:szCs w:val="18"/>
        </w:rPr>
      </w:pPr>
      <w:r w:rsidRPr="00886024">
        <w:rPr>
          <w:rFonts w:ascii="Verdana" w:hAnsi="Verdana" w:cs="Arial"/>
          <w:b/>
          <w:i/>
          <w:sz w:val="18"/>
          <w:szCs w:val="18"/>
          <w:lang w:eastAsia="en-ZA"/>
        </w:rPr>
        <w:t>Legalbrief Workplace –</w:t>
      </w:r>
      <w:r w:rsidR="00502124">
        <w:rPr>
          <w:rFonts w:ascii="Verdana" w:hAnsi="Verdana" w:cs="Arial"/>
          <w:b/>
          <w:i/>
          <w:sz w:val="18"/>
          <w:szCs w:val="18"/>
          <w:lang w:eastAsia="en-ZA"/>
        </w:rPr>
        <w:t>the</w:t>
      </w:r>
      <w:r w:rsidRPr="00886024">
        <w:rPr>
          <w:rFonts w:ascii="Verdana" w:hAnsi="Verdana" w:cs="Arial"/>
          <w:b/>
          <w:i/>
          <w:sz w:val="18"/>
          <w:szCs w:val="18"/>
          <w:lang w:eastAsia="en-ZA"/>
        </w:rPr>
        <w:t xml:space="preserve"> weekly Juta current awareness email service </w:t>
      </w:r>
    </w:p>
    <w:p w:rsidR="00EE6807" w:rsidRPr="00886024" w:rsidRDefault="00EE6807" w:rsidP="00EE6807">
      <w:pPr>
        <w:spacing w:after="200" w:line="240" w:lineRule="atLeast"/>
        <w:jc w:val="both"/>
        <w:rPr>
          <w:rFonts w:ascii="Verdana" w:hAnsi="Verdana"/>
          <w:sz w:val="18"/>
          <w:szCs w:val="18"/>
        </w:rPr>
      </w:pPr>
      <w:r w:rsidRPr="00886024">
        <w:rPr>
          <w:rFonts w:ascii="Verdana" w:hAnsi="Verdana"/>
          <w:i/>
          <w:sz w:val="18"/>
          <w:szCs w:val="18"/>
        </w:rPr>
        <w:t>Legalbrief Workplace</w:t>
      </w:r>
      <w:r w:rsidRPr="00886024">
        <w:rPr>
          <w:rFonts w:ascii="Verdana" w:hAnsi="Verdana"/>
          <w:sz w:val="18"/>
          <w:szCs w:val="18"/>
        </w:rPr>
        <w:t xml:space="preserve"> provides a concise roundup of a broad sweep of topical news coverage gleaned by our team of seasoned journalists from reputable local and international media sources. Subscribers to this specialist email newsletter will enjoy access to labour-focused news summaries and analysis pieces, latest developments in labour legislation and case law, and relevant parliamentary news drawn from </w:t>
      </w:r>
      <w:r w:rsidRPr="00886024">
        <w:rPr>
          <w:rFonts w:ascii="Verdana" w:hAnsi="Verdana"/>
          <w:i/>
          <w:sz w:val="18"/>
          <w:szCs w:val="18"/>
        </w:rPr>
        <w:t>Legalbrief Policy Watch</w:t>
      </w:r>
      <w:r w:rsidRPr="00886024">
        <w:rPr>
          <w:rFonts w:ascii="Verdana" w:hAnsi="Verdana"/>
          <w:sz w:val="18"/>
          <w:szCs w:val="18"/>
        </w:rPr>
        <w:t>. It will prove essential reading to human resource and labour relations practitioners, labour lawyers, CCMA officials, bargaining councils and private arbitrators, labour academics, shop stewards and trade union officials, business leaders and line managers in both government and the private sector responsible for a HR/LR function.</w:t>
      </w:r>
    </w:p>
    <w:p w:rsidR="00EE6807" w:rsidRPr="00886024" w:rsidRDefault="00EE6807" w:rsidP="00EE6807">
      <w:pPr>
        <w:spacing w:after="200"/>
        <w:rPr>
          <w:rFonts w:ascii="Verdana" w:hAnsi="Verdana"/>
          <w:sz w:val="18"/>
          <w:szCs w:val="18"/>
        </w:rPr>
      </w:pPr>
      <w:r w:rsidRPr="00886024">
        <w:rPr>
          <w:rFonts w:ascii="Verdana" w:hAnsi="Verdana"/>
          <w:sz w:val="18"/>
          <w:szCs w:val="18"/>
        </w:rPr>
        <w:t xml:space="preserve">For a quotation or to request a free trial or to subscribe please email: </w:t>
      </w:r>
      <w:hyperlink r:id="rId9" w:history="1">
        <w:r w:rsidRPr="00886024">
          <w:rPr>
            <w:rStyle w:val="Hyperlink"/>
            <w:rFonts w:ascii="Verdana" w:hAnsi="Verdana"/>
            <w:sz w:val="18"/>
            <w:szCs w:val="18"/>
          </w:rPr>
          <w:t>lfaro@juta.co.za</w:t>
        </w:r>
      </w:hyperlink>
      <w:r w:rsidRPr="00886024">
        <w:rPr>
          <w:rFonts w:ascii="Verdana" w:hAnsi="Verdana"/>
          <w:sz w:val="18"/>
          <w:szCs w:val="18"/>
        </w:rPr>
        <w:t xml:space="preserve"> or visit </w:t>
      </w:r>
      <w:hyperlink r:id="rId10" w:history="1">
        <w:r w:rsidRPr="00886024">
          <w:rPr>
            <w:rStyle w:val="Hyperlink"/>
            <w:rFonts w:ascii="Verdana" w:hAnsi="Verdana"/>
            <w:sz w:val="18"/>
            <w:szCs w:val="18"/>
          </w:rPr>
          <w:t>www.legalbrief.co.za</w:t>
        </w:r>
      </w:hyperlink>
    </w:p>
    <w:p w:rsidR="00287E62" w:rsidRPr="00EE6807" w:rsidRDefault="00287E62" w:rsidP="0038565B">
      <w:pPr>
        <w:spacing w:line="240" w:lineRule="atLeast"/>
        <w:jc w:val="both"/>
        <w:rPr>
          <w:rStyle w:val="Strong"/>
          <w:rFonts w:ascii="Verdana" w:hAnsi="Verdana"/>
          <w:sz w:val="18"/>
          <w:szCs w:val="18"/>
        </w:rPr>
      </w:pPr>
    </w:p>
    <w:p w:rsidR="00287E62" w:rsidRPr="00EE6807" w:rsidRDefault="00287E62" w:rsidP="0038565B">
      <w:pPr>
        <w:spacing w:line="240" w:lineRule="atLeast"/>
        <w:jc w:val="both"/>
        <w:rPr>
          <w:rFonts w:ascii="Verdana" w:hAnsi="Verdana"/>
          <w:b/>
          <w:sz w:val="18"/>
          <w:szCs w:val="18"/>
        </w:rPr>
      </w:pPr>
      <w:r w:rsidRPr="00EE6807">
        <w:rPr>
          <w:rStyle w:val="Strong"/>
          <w:rFonts w:ascii="Verdana" w:hAnsi="Verdana"/>
          <w:b w:val="0"/>
          <w:sz w:val="18"/>
          <w:szCs w:val="18"/>
        </w:rPr>
        <w:t>We welcome your feedback</w:t>
      </w:r>
    </w:p>
    <w:p w:rsidR="00287E62" w:rsidRPr="009D0BCC" w:rsidRDefault="00287E62" w:rsidP="0038565B">
      <w:pPr>
        <w:spacing w:line="240" w:lineRule="atLeast"/>
        <w:jc w:val="both"/>
        <w:rPr>
          <w:rStyle w:val="Strong"/>
          <w:rFonts w:ascii="Verdana" w:hAnsi="Verdana"/>
          <w:sz w:val="18"/>
          <w:szCs w:val="18"/>
        </w:rPr>
      </w:pPr>
    </w:p>
    <w:p w:rsidR="00287E62" w:rsidRPr="00502124" w:rsidRDefault="00EB0CDF" w:rsidP="0038565B">
      <w:pPr>
        <w:spacing w:line="240" w:lineRule="atLeast"/>
        <w:jc w:val="both"/>
        <w:rPr>
          <w:rStyle w:val="Strong"/>
          <w:rFonts w:ascii="Verdana" w:hAnsi="Verdana"/>
          <w:b w:val="0"/>
          <w:sz w:val="18"/>
          <w:szCs w:val="18"/>
        </w:rPr>
      </w:pPr>
      <w:r w:rsidRPr="00EB0CDF">
        <w:rPr>
          <w:rStyle w:val="Strong"/>
          <w:rFonts w:ascii="Verdana" w:hAnsi="Verdana"/>
          <w:b w:val="0"/>
          <w:sz w:val="18"/>
          <w:szCs w:val="18"/>
        </w:rPr>
        <w:t>Kind regards</w:t>
      </w:r>
    </w:p>
    <w:p w:rsidR="00287E62" w:rsidRPr="009D0BCC" w:rsidRDefault="00287E62" w:rsidP="0038565B">
      <w:pPr>
        <w:spacing w:line="240" w:lineRule="atLeast"/>
        <w:jc w:val="both"/>
        <w:rPr>
          <w:rStyle w:val="Strong"/>
          <w:rFonts w:ascii="Verdana" w:hAnsi="Verdana"/>
          <w:sz w:val="18"/>
          <w:szCs w:val="18"/>
        </w:rPr>
      </w:pPr>
      <w:r w:rsidRPr="009D0BCC">
        <w:rPr>
          <w:rFonts w:ascii="Verdana" w:hAnsi="Verdana"/>
          <w:b/>
          <w:bCs/>
          <w:sz w:val="18"/>
          <w:szCs w:val="18"/>
        </w:rPr>
        <w:br/>
      </w:r>
      <w:r w:rsidRPr="009D0BCC">
        <w:rPr>
          <w:rStyle w:val="Strong"/>
          <w:rFonts w:ascii="Verdana" w:hAnsi="Verdana"/>
          <w:sz w:val="18"/>
          <w:szCs w:val="18"/>
        </w:rPr>
        <w:t>Juta General Law</w:t>
      </w:r>
    </w:p>
    <w:p w:rsidR="00F00009" w:rsidRPr="006B12D4" w:rsidRDefault="000B0DB2" w:rsidP="0038565B">
      <w:pPr>
        <w:spacing w:line="240" w:lineRule="atLeast"/>
        <w:jc w:val="both"/>
        <w:rPr>
          <w:rFonts w:ascii="Verdana" w:hAnsi="Verdana" w:cs="Arial"/>
          <w:b/>
          <w:color w:val="31849B"/>
          <w:sz w:val="32"/>
          <w:szCs w:val="32"/>
          <w:lang w:eastAsia="en-ZA"/>
        </w:rPr>
      </w:pPr>
      <w:r w:rsidRPr="009D0BCC">
        <w:rPr>
          <w:rStyle w:val="Strong"/>
          <w:rFonts w:ascii="Verdana" w:hAnsi="Verdana"/>
          <w:sz w:val="18"/>
          <w:szCs w:val="18"/>
        </w:rPr>
        <w:br w:type="page"/>
      </w:r>
      <w:r w:rsidR="00F00009" w:rsidRPr="006B12D4">
        <w:rPr>
          <w:rFonts w:ascii="Verdana" w:hAnsi="Verdana" w:cs="Arial"/>
          <w:b/>
          <w:color w:val="31849B"/>
          <w:sz w:val="32"/>
          <w:szCs w:val="32"/>
          <w:lang w:eastAsia="en-ZA"/>
        </w:rPr>
        <w:lastRenderedPageBreak/>
        <w:t xml:space="preserve">HIGHLIGHTS </w:t>
      </w:r>
      <w:r w:rsidR="0003358C" w:rsidRPr="006B12D4">
        <w:rPr>
          <w:rFonts w:ascii="Verdana" w:hAnsi="Verdana" w:cs="Arial"/>
          <w:b/>
          <w:color w:val="31849B"/>
          <w:sz w:val="32"/>
          <w:szCs w:val="32"/>
          <w:lang w:eastAsia="en-ZA"/>
        </w:rPr>
        <w:t>OF</w:t>
      </w:r>
      <w:r w:rsidR="00F00009" w:rsidRPr="006B12D4">
        <w:rPr>
          <w:rFonts w:ascii="Verdana" w:hAnsi="Verdana" w:cs="Arial"/>
          <w:b/>
          <w:color w:val="31849B"/>
          <w:sz w:val="32"/>
          <w:szCs w:val="32"/>
          <w:lang w:eastAsia="en-ZA"/>
        </w:rPr>
        <w:t xml:space="preserve"> THE INDUSTRIAL LAW REPORTS</w:t>
      </w:r>
    </w:p>
    <w:p w:rsidR="003B37FF" w:rsidRDefault="003B37FF" w:rsidP="003B37FF">
      <w:pPr>
        <w:pStyle w:val="LRHeadLevel1"/>
        <w:spacing w:before="0" w:after="0" w:line="240" w:lineRule="auto"/>
        <w:rPr>
          <w:rFonts w:ascii="Verdana" w:hAnsi="Verdana"/>
          <w:b/>
          <w:sz w:val="18"/>
          <w:szCs w:val="18"/>
        </w:rPr>
      </w:pPr>
      <w:r>
        <w:rPr>
          <w:rFonts w:ascii="Verdana" w:hAnsi="Verdana"/>
          <w:b/>
          <w:sz w:val="18"/>
          <w:szCs w:val="18"/>
        </w:rPr>
        <w:br/>
      </w:r>
    </w:p>
    <w:p w:rsidR="003B37FF" w:rsidRPr="002C5E2F" w:rsidRDefault="003B37FF" w:rsidP="003B37FF">
      <w:pPr>
        <w:pStyle w:val="LRHeadLevel1"/>
        <w:spacing w:before="0" w:after="0" w:line="240" w:lineRule="auto"/>
        <w:rPr>
          <w:rFonts w:ascii="Verdana" w:hAnsi="Verdana"/>
          <w:b/>
          <w:sz w:val="18"/>
          <w:szCs w:val="18"/>
        </w:rPr>
      </w:pPr>
      <w:r w:rsidRPr="002C5E2F">
        <w:rPr>
          <w:rFonts w:ascii="Verdana" w:hAnsi="Verdana"/>
          <w:b/>
          <w:sz w:val="18"/>
          <w:szCs w:val="18"/>
        </w:rPr>
        <w:t>Compensation for Occupational Injuries and Diseases Act 130 of 1993</w:t>
      </w:r>
    </w:p>
    <w:p w:rsidR="003B37FF" w:rsidRPr="003B37FF" w:rsidRDefault="003B37FF" w:rsidP="003B37FF">
      <w:pPr>
        <w:spacing w:after="200" w:line="240" w:lineRule="atLeast"/>
        <w:jc w:val="both"/>
        <w:rPr>
          <w:rFonts w:ascii="Verdana" w:hAnsi="Verdana"/>
          <w:sz w:val="18"/>
          <w:szCs w:val="18"/>
        </w:rPr>
      </w:pPr>
      <w:r w:rsidRPr="003B37FF">
        <w:rPr>
          <w:rFonts w:ascii="Verdana" w:hAnsi="Verdana"/>
          <w:sz w:val="18"/>
          <w:szCs w:val="18"/>
        </w:rPr>
        <w:t xml:space="preserve">On appeal in </w:t>
      </w:r>
      <w:r w:rsidRPr="00597FAB">
        <w:rPr>
          <w:rFonts w:ascii="Verdana" w:hAnsi="Verdana"/>
          <w:i/>
          <w:iCs/>
          <w:sz w:val="18"/>
          <w:szCs w:val="18"/>
        </w:rPr>
        <w:t>MEC for the Department of Health, Free State Province v DN</w:t>
      </w:r>
      <w:r w:rsidRPr="003B37FF">
        <w:rPr>
          <w:rFonts w:ascii="Verdana" w:hAnsi="Verdana"/>
          <w:iCs/>
          <w:sz w:val="18"/>
          <w:szCs w:val="18"/>
        </w:rPr>
        <w:t xml:space="preserve"> </w:t>
      </w:r>
      <w:r w:rsidRPr="003B37FF">
        <w:rPr>
          <w:rFonts w:ascii="Verdana" w:hAnsi="Verdana"/>
          <w:sz w:val="18"/>
          <w:szCs w:val="18"/>
        </w:rPr>
        <w:t>(at 3301) the Supreme Court of Appeal was required to consider whether a nurse who was raped while on duty could sue her employer for damages at common law for failing to provide her with reasonable protective measures against rape. The employer maintained that she was precluded from doing so by the provisions of the Compensation for Occupational Injuries and Diseases Act 130 of 1993, because the incident arose out of her employment, and COIDA provided a strict liability, though less generous, remedy against the employer. The SCA found it inconceivable that the risk of rape should be incidental to the doctor’s employment, and that it would be adverse to the employee’s interests to restrict her only to a claim for compensation in terms of COIDA. Although she could have sued in terms of COIDA she was still free to sue for damages at common law.</w:t>
      </w:r>
    </w:p>
    <w:p w:rsidR="003B37FF" w:rsidRPr="002C5E2F" w:rsidRDefault="003B37FF" w:rsidP="003B37FF">
      <w:pPr>
        <w:pStyle w:val="BasicParagraph"/>
      </w:pPr>
    </w:p>
    <w:p w:rsidR="003B37FF" w:rsidRPr="002C5E2F" w:rsidRDefault="003B37FF" w:rsidP="003B37FF">
      <w:pPr>
        <w:pStyle w:val="LRHeadLevel1"/>
        <w:spacing w:before="0" w:after="0" w:line="240" w:lineRule="auto"/>
        <w:rPr>
          <w:rFonts w:ascii="Verdana" w:hAnsi="Verdana"/>
          <w:b/>
          <w:sz w:val="18"/>
          <w:szCs w:val="18"/>
        </w:rPr>
      </w:pPr>
      <w:r w:rsidRPr="002C5E2F">
        <w:rPr>
          <w:rFonts w:ascii="Verdana" w:hAnsi="Verdana"/>
          <w:b/>
          <w:sz w:val="18"/>
          <w:szCs w:val="18"/>
        </w:rPr>
        <w:t>The Vicarious Liability of an Employer in Deviation Cases</w:t>
      </w:r>
    </w:p>
    <w:p w:rsidR="003B37FF" w:rsidRDefault="003B37FF" w:rsidP="003B37FF">
      <w:pPr>
        <w:pStyle w:val="LRParaFL"/>
        <w:spacing w:line="240" w:lineRule="auto"/>
        <w:rPr>
          <w:rFonts w:ascii="Verdana" w:hAnsi="Verdana"/>
          <w:sz w:val="18"/>
          <w:szCs w:val="18"/>
        </w:rPr>
      </w:pPr>
      <w:r w:rsidRPr="002C5E2F">
        <w:rPr>
          <w:rFonts w:ascii="Verdana" w:hAnsi="Verdana"/>
          <w:sz w:val="18"/>
          <w:szCs w:val="18"/>
        </w:rPr>
        <w:t xml:space="preserve">The High Court in </w:t>
      </w:r>
      <w:r w:rsidRPr="002C5E2F">
        <w:rPr>
          <w:rStyle w:val="BemboItalix"/>
          <w:rFonts w:ascii="Verdana" w:hAnsi="Verdana"/>
          <w:sz w:val="18"/>
          <w:szCs w:val="18"/>
        </w:rPr>
        <w:t>Pehlani v Minister of Police</w:t>
      </w:r>
      <w:r w:rsidRPr="002C5E2F">
        <w:rPr>
          <w:rFonts w:ascii="Verdana" w:hAnsi="Verdana"/>
          <w:sz w:val="18"/>
          <w:szCs w:val="18"/>
        </w:rPr>
        <w:t xml:space="preserve"> (at 3316) held the respondent minister vicariously liable for the actions of a police reservist who, while in uniform and on duty, attempted to murder her former boyfriend, using a SAPS firearm which had been issued to her. Applying an objective deviation test, the court found that there was a sufficiently close link between the employee’s wrongful act and the purposes and business of the SAPS to justify imposing vicarious liability. Although there was no question of the victim placing trust in the reservist, trust in a broader sense could not be discounted. Members of the community know that SAPS members carry firearms and trust them to use them lawfully, and only when necessary, so the reservist had greater freedom of movement.</w:t>
      </w:r>
    </w:p>
    <w:p w:rsidR="003B37FF" w:rsidRPr="002C5E2F" w:rsidRDefault="003B37FF" w:rsidP="003B37FF">
      <w:pPr>
        <w:pStyle w:val="BasicParagraph"/>
      </w:pPr>
    </w:p>
    <w:p w:rsidR="003B37FF" w:rsidRPr="002C5E2F" w:rsidRDefault="003B37FF" w:rsidP="003B37FF">
      <w:pPr>
        <w:pStyle w:val="LRHeadLevel1"/>
        <w:spacing w:before="0" w:after="0" w:line="240" w:lineRule="auto"/>
        <w:rPr>
          <w:rFonts w:ascii="Verdana" w:hAnsi="Verdana"/>
          <w:b/>
          <w:sz w:val="18"/>
          <w:szCs w:val="18"/>
        </w:rPr>
      </w:pPr>
      <w:r w:rsidRPr="002C5E2F">
        <w:rPr>
          <w:rFonts w:ascii="Verdana" w:hAnsi="Verdana"/>
          <w:b/>
          <w:sz w:val="18"/>
          <w:szCs w:val="18"/>
        </w:rPr>
        <w:t>Powers of the Labour Court</w:t>
      </w:r>
    </w:p>
    <w:p w:rsidR="003B37FF" w:rsidRDefault="003B37FF" w:rsidP="003B37FF">
      <w:pPr>
        <w:pStyle w:val="LRParaFL"/>
        <w:spacing w:line="240" w:lineRule="auto"/>
        <w:rPr>
          <w:rFonts w:ascii="Verdana" w:hAnsi="Verdana"/>
          <w:sz w:val="18"/>
          <w:szCs w:val="18"/>
        </w:rPr>
      </w:pPr>
      <w:r w:rsidRPr="002C5E2F">
        <w:rPr>
          <w:rFonts w:ascii="Verdana" w:hAnsi="Verdana"/>
          <w:sz w:val="18"/>
          <w:szCs w:val="18"/>
        </w:rPr>
        <w:t xml:space="preserve">In an application to make an arbitration award an order of court, in </w:t>
      </w:r>
      <w:r w:rsidRPr="002C5E2F">
        <w:rPr>
          <w:rStyle w:val="BemboItalix"/>
          <w:rFonts w:ascii="Verdana" w:hAnsi="Verdana"/>
          <w:sz w:val="18"/>
          <w:szCs w:val="18"/>
        </w:rPr>
        <w:t>Food &amp; Allied Workers Union &amp; others v Cape Hospitality Services t/a Savoy Hotel</w:t>
      </w:r>
      <w:r w:rsidRPr="002C5E2F">
        <w:rPr>
          <w:rFonts w:ascii="Verdana" w:hAnsi="Verdana"/>
          <w:sz w:val="18"/>
          <w:szCs w:val="18"/>
        </w:rPr>
        <w:t xml:space="preserve"> (at 3394) where the employees had delayed for five years in pursuing their claim for reinstatement, the Labour Court found that it had no discretion to limit the extent of the retrospective reinstatement awarded, but only to decide whether or not to make the award an order of court. It found it would not be in the interests of justice to refuse the order. </w:t>
      </w:r>
    </w:p>
    <w:p w:rsidR="003B37FF" w:rsidRPr="002C5E2F" w:rsidRDefault="003B37FF" w:rsidP="003B37FF">
      <w:pPr>
        <w:pStyle w:val="BasicParagraph"/>
      </w:pPr>
    </w:p>
    <w:p w:rsidR="003B37FF" w:rsidRDefault="003B37FF" w:rsidP="003B37FF">
      <w:pPr>
        <w:pStyle w:val="LRHeadLevel1"/>
        <w:spacing w:before="0" w:after="0" w:line="240" w:lineRule="auto"/>
        <w:rPr>
          <w:rFonts w:ascii="Verdana" w:hAnsi="Verdana"/>
          <w:b/>
          <w:sz w:val="18"/>
          <w:szCs w:val="18"/>
        </w:rPr>
      </w:pPr>
      <w:r w:rsidRPr="002C5E2F">
        <w:rPr>
          <w:rFonts w:ascii="Verdana" w:hAnsi="Verdana"/>
          <w:b/>
          <w:sz w:val="18"/>
          <w:szCs w:val="18"/>
        </w:rPr>
        <w:t xml:space="preserve">Fixed-term Contracts of Employment </w:t>
      </w:r>
    </w:p>
    <w:p w:rsidR="003B37FF" w:rsidRDefault="003B37FF" w:rsidP="003B37FF">
      <w:pPr>
        <w:pStyle w:val="LRHeadLevel1"/>
        <w:spacing w:before="0" w:after="0" w:line="240" w:lineRule="auto"/>
        <w:rPr>
          <w:rFonts w:ascii="Verdana" w:hAnsi="Verdana"/>
          <w:sz w:val="18"/>
          <w:szCs w:val="18"/>
        </w:rPr>
      </w:pPr>
      <w:r w:rsidRPr="002C5E2F">
        <w:rPr>
          <w:rFonts w:ascii="Verdana" w:hAnsi="Verdana"/>
          <w:sz w:val="18"/>
          <w:szCs w:val="18"/>
        </w:rPr>
        <w:t xml:space="preserve">The Labour Appeal Court has in </w:t>
      </w:r>
      <w:r w:rsidRPr="002C5E2F">
        <w:rPr>
          <w:rStyle w:val="BemboItalix"/>
          <w:rFonts w:ascii="Verdana" w:hAnsi="Verdana"/>
          <w:sz w:val="18"/>
          <w:szCs w:val="18"/>
        </w:rPr>
        <w:t xml:space="preserve">Blue IQ Investment Holdings (Pty) Ltd v Southgate </w:t>
      </w:r>
      <w:r w:rsidRPr="002C5E2F">
        <w:rPr>
          <w:rFonts w:ascii="Verdana" w:hAnsi="Verdana"/>
          <w:sz w:val="18"/>
          <w:szCs w:val="18"/>
        </w:rPr>
        <w:t xml:space="preserve">(at 3326) upheld an appeal from an earlier decision of the Labour Court (reported at (2012) 33 </w:t>
      </w:r>
      <w:r w:rsidRPr="002C5E2F">
        <w:rPr>
          <w:rStyle w:val="BemboItalix"/>
          <w:rFonts w:ascii="Verdana" w:hAnsi="Verdana"/>
          <w:sz w:val="18"/>
          <w:szCs w:val="18"/>
        </w:rPr>
        <w:t>ILJ</w:t>
      </w:r>
      <w:r w:rsidRPr="002C5E2F">
        <w:rPr>
          <w:rFonts w:ascii="Verdana" w:hAnsi="Verdana"/>
          <w:sz w:val="18"/>
          <w:szCs w:val="18"/>
        </w:rPr>
        <w:t xml:space="preserve"> 2681 (LC)) which found that the parties to a fixed-term contract of employment were entitled to vary its terms and to enter into a further agreement during the currency of the contract, and that it was not necessary for them to do so in writing. The LAC found that a non-variation clause in the earlier contract, which required the parties to reduce any variation or cancellation to writing, was binding on the parties and rendered any further contracts invalid unless those requirements were met. The employees’ fixed-term contracts of employment in </w:t>
      </w:r>
      <w:r w:rsidRPr="002C5E2F">
        <w:rPr>
          <w:rStyle w:val="BemboItalix"/>
          <w:rFonts w:ascii="Verdana" w:hAnsi="Verdana"/>
          <w:sz w:val="18"/>
          <w:szCs w:val="18"/>
        </w:rPr>
        <w:t xml:space="preserve">Hudson &amp; another v SAA Airways SOC Ltd </w:t>
      </w:r>
      <w:r w:rsidRPr="002C5E2F">
        <w:rPr>
          <w:rFonts w:ascii="Verdana" w:hAnsi="Verdana"/>
          <w:sz w:val="18"/>
          <w:szCs w:val="18"/>
        </w:rPr>
        <w:t xml:space="preserve">(at 3407) were found to have been concluded in contravention of the SA Airways Act 5 of 2007 read with the Public Finance Management Act 1 of 1999, and therefore also to be invalid. The court found the employees to be precluded from pleading estoppel as it would not be in the public interest to enforce contracts which contravened legislative provisions. In </w:t>
      </w:r>
      <w:r w:rsidRPr="002C5E2F">
        <w:rPr>
          <w:rStyle w:val="BemboItalix"/>
          <w:rFonts w:ascii="Verdana" w:hAnsi="Verdana"/>
          <w:sz w:val="18"/>
          <w:szCs w:val="18"/>
        </w:rPr>
        <w:t xml:space="preserve">National Security Commercial &amp; General Workers Union on behalf of Nteso and Phillip Saunders Resort </w:t>
      </w:r>
      <w:r w:rsidRPr="002C5E2F">
        <w:rPr>
          <w:rFonts w:ascii="Verdana" w:hAnsi="Verdana"/>
          <w:sz w:val="18"/>
          <w:szCs w:val="18"/>
        </w:rPr>
        <w:t xml:space="preserve">(at 3501) an employee who continued to work beyond the expiry of his fixed-term contract of employment was found to have an expectation of permanent employment and to have discharged the onus of proving that he had been unfairly dismissed. Similarly, in </w:t>
      </w:r>
      <w:r w:rsidRPr="002C5E2F">
        <w:rPr>
          <w:rStyle w:val="BemboItalix"/>
          <w:rFonts w:ascii="Verdana" w:hAnsi="Verdana"/>
          <w:sz w:val="18"/>
          <w:szCs w:val="18"/>
        </w:rPr>
        <w:t xml:space="preserve">Naicker and Audio Secure </w:t>
      </w:r>
      <w:r w:rsidRPr="002C5E2F">
        <w:rPr>
          <w:rFonts w:ascii="Verdana" w:hAnsi="Verdana"/>
          <w:sz w:val="18"/>
          <w:szCs w:val="18"/>
        </w:rPr>
        <w:t>(at 3513) the arbitrator found that an employee who had signed successive fixed-term contracts and had continued working after their expiry was employed on a permanent basis, and that his employment was not subject to a tacit agreement that his employment would end on the expiry of a further term.</w:t>
      </w:r>
    </w:p>
    <w:p w:rsidR="003B37FF" w:rsidRPr="002C5E2F" w:rsidRDefault="003B37FF" w:rsidP="003B37FF">
      <w:pPr>
        <w:pStyle w:val="BasicParagraph"/>
      </w:pPr>
    </w:p>
    <w:p w:rsidR="003B37FF" w:rsidRPr="002C5E2F" w:rsidRDefault="003B37FF" w:rsidP="003B37FF">
      <w:pPr>
        <w:pStyle w:val="LRHeadLevel1"/>
        <w:spacing w:before="0" w:after="0" w:line="240" w:lineRule="auto"/>
        <w:rPr>
          <w:rFonts w:ascii="Verdana" w:hAnsi="Verdana"/>
          <w:b/>
          <w:sz w:val="18"/>
          <w:szCs w:val="18"/>
        </w:rPr>
      </w:pPr>
      <w:r w:rsidRPr="002C5E2F">
        <w:rPr>
          <w:rFonts w:ascii="Verdana" w:hAnsi="Verdana"/>
          <w:b/>
          <w:sz w:val="18"/>
          <w:szCs w:val="18"/>
        </w:rPr>
        <w:t xml:space="preserve">Other Contracts of Employment </w:t>
      </w:r>
    </w:p>
    <w:p w:rsidR="003B37FF" w:rsidRDefault="003B37FF" w:rsidP="003B37FF">
      <w:pPr>
        <w:pStyle w:val="LRParaFL"/>
        <w:spacing w:line="240" w:lineRule="auto"/>
        <w:rPr>
          <w:rFonts w:ascii="Verdana" w:hAnsi="Verdana"/>
          <w:sz w:val="18"/>
          <w:szCs w:val="18"/>
        </w:rPr>
      </w:pPr>
      <w:r w:rsidRPr="002C5E2F">
        <w:rPr>
          <w:rFonts w:ascii="Verdana" w:hAnsi="Verdana"/>
          <w:sz w:val="18"/>
          <w:szCs w:val="18"/>
        </w:rPr>
        <w:t xml:space="preserve">In </w:t>
      </w:r>
      <w:r w:rsidRPr="002C5E2F">
        <w:rPr>
          <w:rStyle w:val="BemboItalix"/>
          <w:rFonts w:ascii="Verdana" w:hAnsi="Verdana"/>
          <w:sz w:val="18"/>
          <w:szCs w:val="18"/>
        </w:rPr>
        <w:t xml:space="preserve">Kaltwasser v Isambulela Group Administrator (Pty) Ltd </w:t>
      </w:r>
      <w:r w:rsidRPr="002C5E2F">
        <w:rPr>
          <w:rFonts w:ascii="Verdana" w:hAnsi="Verdana"/>
          <w:sz w:val="18"/>
          <w:szCs w:val="18"/>
        </w:rPr>
        <w:t xml:space="preserve">(at 3436) the employee would not sign the employer’s standard contract and was told to draft his own. When, two years later, he presented his manager with a contract which appeared to be the standard contract, the manager signed it unread. The contract in fact contained certain new terms, and the employee later lodged a contractual claim before the Labour Court for the employer’s breach of those terms. The court found that the employee was not entitled to rely on the doctrine of caveat subscriptor as he failed to alert the employer to the changes he had made, and the employer succeeded in its defence based on justus error. The court found in </w:t>
      </w:r>
      <w:r w:rsidRPr="002C5E2F">
        <w:rPr>
          <w:rStyle w:val="BemboItalix"/>
          <w:rFonts w:ascii="Verdana" w:hAnsi="Verdana"/>
          <w:sz w:val="18"/>
          <w:szCs w:val="18"/>
        </w:rPr>
        <w:t xml:space="preserve">Motitswe v City of Tshwane </w:t>
      </w:r>
      <w:r w:rsidRPr="002C5E2F">
        <w:rPr>
          <w:rFonts w:ascii="Verdana" w:hAnsi="Verdana"/>
          <w:sz w:val="18"/>
          <w:szCs w:val="18"/>
        </w:rPr>
        <w:t xml:space="preserve">(at 3458) that the applicant’s contract of employment, on which he based his claim against the respondent municipality for unfair dismissal, was subject to a suspensive condition which had not been fulfilled. The contract had accordingly lapsed and the applicant was no longer an employee. In </w:t>
      </w:r>
      <w:r w:rsidRPr="002C5E2F">
        <w:rPr>
          <w:rStyle w:val="BemboItalix"/>
          <w:rFonts w:ascii="Verdana" w:hAnsi="Verdana"/>
          <w:sz w:val="18"/>
          <w:szCs w:val="18"/>
        </w:rPr>
        <w:t xml:space="preserve">Grup v Renaissance BJM Securities (Pty) Ltd </w:t>
      </w:r>
      <w:r w:rsidRPr="002C5E2F">
        <w:rPr>
          <w:rFonts w:ascii="Verdana" w:hAnsi="Verdana"/>
          <w:sz w:val="18"/>
          <w:szCs w:val="18"/>
        </w:rPr>
        <w:t>(at 3400) the court found that a undertaking by the employer to compensate the employee for the deferred equity compensation he would forfeit on resignation from his previous employer vested on the signing of his employment contract. The employee’s claim to the compensation in terms of the undertaking therefore survived the termination of the employment contract.</w:t>
      </w:r>
    </w:p>
    <w:p w:rsidR="003B37FF" w:rsidRPr="002C5E2F" w:rsidRDefault="003B37FF" w:rsidP="003B37FF">
      <w:pPr>
        <w:pStyle w:val="BasicParagraph"/>
      </w:pPr>
    </w:p>
    <w:p w:rsidR="003B37FF" w:rsidRPr="002C5E2F" w:rsidRDefault="003B37FF" w:rsidP="003B37FF">
      <w:pPr>
        <w:pStyle w:val="LRHeadLevel1"/>
        <w:spacing w:before="0" w:after="0" w:line="240" w:lineRule="auto"/>
        <w:rPr>
          <w:rFonts w:ascii="Verdana" w:hAnsi="Verdana"/>
          <w:b/>
          <w:sz w:val="18"/>
          <w:szCs w:val="18"/>
        </w:rPr>
      </w:pPr>
      <w:r w:rsidRPr="002C5E2F">
        <w:rPr>
          <w:rFonts w:ascii="Verdana" w:hAnsi="Verdana"/>
          <w:b/>
          <w:sz w:val="18"/>
          <w:szCs w:val="18"/>
        </w:rPr>
        <w:t xml:space="preserve">Disciplinary Penalty </w:t>
      </w:r>
    </w:p>
    <w:p w:rsidR="003B37FF" w:rsidRPr="002C5E2F" w:rsidRDefault="003B37FF" w:rsidP="003B37FF">
      <w:pPr>
        <w:pStyle w:val="LRParaFL"/>
        <w:spacing w:line="240" w:lineRule="auto"/>
        <w:rPr>
          <w:rFonts w:ascii="Verdana" w:hAnsi="Verdana"/>
          <w:sz w:val="18"/>
          <w:szCs w:val="18"/>
        </w:rPr>
      </w:pPr>
      <w:r w:rsidRPr="002C5E2F">
        <w:rPr>
          <w:rFonts w:ascii="Verdana" w:hAnsi="Verdana"/>
          <w:sz w:val="18"/>
          <w:szCs w:val="18"/>
        </w:rPr>
        <w:t xml:space="preserve">The Labour Appeal Court found in </w:t>
      </w:r>
      <w:r w:rsidRPr="002C5E2F">
        <w:rPr>
          <w:rStyle w:val="BemboItalix"/>
          <w:rFonts w:ascii="Verdana" w:hAnsi="Verdana"/>
          <w:sz w:val="18"/>
          <w:szCs w:val="18"/>
        </w:rPr>
        <w:t xml:space="preserve">Department of Home Affairs &amp; another v Ndlovu &amp; others </w:t>
      </w:r>
      <w:r w:rsidRPr="002C5E2F">
        <w:rPr>
          <w:rFonts w:ascii="Verdana" w:hAnsi="Verdana"/>
          <w:sz w:val="18"/>
          <w:szCs w:val="18"/>
        </w:rPr>
        <w:t xml:space="preserve">(at 3340) that a misrepresentation in an employee’s CV, claiming a qualification which he did not possess, amounted to gross dishonesty justifying the sanction of dismissal. Similarly, in </w:t>
      </w:r>
      <w:r w:rsidRPr="002C5E2F">
        <w:rPr>
          <w:rStyle w:val="BemboItalix"/>
          <w:rFonts w:ascii="Verdana" w:hAnsi="Verdana"/>
          <w:sz w:val="18"/>
          <w:szCs w:val="18"/>
        </w:rPr>
        <w:t xml:space="preserve">Rainbow Farms (Pty) Ltd v Dorasamy NO &amp; others </w:t>
      </w:r>
      <w:r w:rsidRPr="002C5E2F">
        <w:rPr>
          <w:rFonts w:ascii="Verdana" w:hAnsi="Verdana"/>
          <w:sz w:val="18"/>
          <w:szCs w:val="18"/>
        </w:rPr>
        <w:t xml:space="preserve">(at 3462) the Labour Court held the dismissal of an employee who had misrepresented her qualifications in her CV to be justified, and that it was no defence to an allegation of fraud that the employer could have verified her allegations by referring to her personnel file. </w:t>
      </w:r>
    </w:p>
    <w:p w:rsidR="003B37FF" w:rsidRDefault="003B37FF" w:rsidP="003B37FF">
      <w:pPr>
        <w:pStyle w:val="LRParaindent"/>
        <w:spacing w:line="240" w:lineRule="auto"/>
        <w:ind w:firstLine="0"/>
        <w:rPr>
          <w:rFonts w:ascii="Verdana" w:hAnsi="Verdana"/>
          <w:sz w:val="18"/>
          <w:szCs w:val="18"/>
        </w:rPr>
      </w:pPr>
    </w:p>
    <w:p w:rsidR="003B37FF" w:rsidRPr="002C5E2F" w:rsidRDefault="003B37FF" w:rsidP="003B37FF">
      <w:pPr>
        <w:pStyle w:val="LRParaindent"/>
        <w:spacing w:line="240" w:lineRule="auto"/>
        <w:ind w:firstLine="0"/>
        <w:rPr>
          <w:rFonts w:ascii="Verdana" w:hAnsi="Verdana"/>
          <w:sz w:val="18"/>
          <w:szCs w:val="18"/>
        </w:rPr>
      </w:pPr>
      <w:r w:rsidRPr="002C5E2F">
        <w:rPr>
          <w:rFonts w:ascii="Verdana" w:hAnsi="Verdana"/>
          <w:sz w:val="18"/>
          <w:szCs w:val="18"/>
        </w:rPr>
        <w:t>In</w:t>
      </w:r>
      <w:r w:rsidRPr="002C5E2F">
        <w:rPr>
          <w:rStyle w:val="BemboItalix"/>
          <w:rFonts w:ascii="Verdana" w:hAnsi="Verdana"/>
          <w:sz w:val="18"/>
          <w:szCs w:val="18"/>
        </w:rPr>
        <w:t xml:space="preserve"> Solari v Nedbank Ltd &amp; others </w:t>
      </w:r>
      <w:r w:rsidRPr="002C5E2F">
        <w:rPr>
          <w:rFonts w:ascii="Verdana" w:hAnsi="Verdana"/>
          <w:sz w:val="18"/>
          <w:szCs w:val="18"/>
        </w:rPr>
        <w:t xml:space="preserve">(at 3349) the LAC found the dismissal of a bank employee who deliberately used improper bank procedures to gain a financial advantage for himself was justified because he had used deceit in doing so, and had exposed the bank to additional financial risk. In </w:t>
      </w:r>
      <w:r w:rsidRPr="002C5E2F">
        <w:rPr>
          <w:rStyle w:val="BemboItalix"/>
          <w:rFonts w:ascii="Verdana" w:hAnsi="Verdana"/>
          <w:sz w:val="18"/>
          <w:szCs w:val="18"/>
        </w:rPr>
        <w:t xml:space="preserve">Hulamin Ltd v Metal &amp; Engineering Industries Bargaining Council &amp; others </w:t>
      </w:r>
      <w:r w:rsidRPr="002C5E2F">
        <w:rPr>
          <w:rFonts w:ascii="Verdana" w:hAnsi="Verdana"/>
          <w:sz w:val="18"/>
          <w:szCs w:val="18"/>
        </w:rPr>
        <w:t>(at 3417) the Labour Court found the dismissal of an employee for ‘time fraud’ after leaving her place of employment in order to buy food, to be unfair. She had pleaded guilty in disciplinary proceedings to leaving her place of employment, but had not been found guilty of any offence of fraud or dishonesty.</w:t>
      </w:r>
    </w:p>
    <w:p w:rsidR="003B37FF" w:rsidRDefault="003B37FF" w:rsidP="003B37FF">
      <w:pPr>
        <w:pStyle w:val="LRHeadLevel1"/>
        <w:spacing w:before="0" w:after="0" w:line="240" w:lineRule="auto"/>
        <w:rPr>
          <w:rFonts w:ascii="Verdana" w:hAnsi="Verdana"/>
          <w:b/>
          <w:sz w:val="18"/>
          <w:szCs w:val="18"/>
        </w:rPr>
      </w:pPr>
    </w:p>
    <w:p w:rsidR="003B37FF" w:rsidRPr="002C5E2F" w:rsidRDefault="003B37FF" w:rsidP="003B37FF">
      <w:pPr>
        <w:pStyle w:val="LRHeadLevel1"/>
        <w:spacing w:before="0" w:after="0" w:line="240" w:lineRule="auto"/>
        <w:rPr>
          <w:rFonts w:ascii="Verdana" w:hAnsi="Verdana"/>
          <w:b/>
          <w:sz w:val="18"/>
          <w:szCs w:val="18"/>
        </w:rPr>
      </w:pPr>
      <w:r w:rsidRPr="002C5E2F">
        <w:rPr>
          <w:rFonts w:ascii="Verdana" w:hAnsi="Verdana"/>
          <w:b/>
          <w:sz w:val="18"/>
          <w:szCs w:val="18"/>
        </w:rPr>
        <w:t>Constructive Dismissal</w:t>
      </w:r>
    </w:p>
    <w:p w:rsidR="003B37FF" w:rsidRDefault="003B37FF" w:rsidP="003B37FF">
      <w:pPr>
        <w:pStyle w:val="LRParaFL"/>
        <w:spacing w:line="240" w:lineRule="auto"/>
        <w:rPr>
          <w:rFonts w:ascii="Verdana" w:hAnsi="Verdana"/>
          <w:sz w:val="18"/>
          <w:szCs w:val="18"/>
        </w:rPr>
      </w:pPr>
      <w:r w:rsidRPr="002C5E2F">
        <w:rPr>
          <w:rFonts w:ascii="Verdana" w:hAnsi="Verdana"/>
          <w:sz w:val="18"/>
          <w:szCs w:val="18"/>
        </w:rPr>
        <w:t xml:space="preserve">In </w:t>
      </w:r>
      <w:r w:rsidRPr="002C5E2F">
        <w:rPr>
          <w:rStyle w:val="BemboItalix"/>
          <w:rFonts w:ascii="Verdana" w:hAnsi="Verdana"/>
          <w:sz w:val="18"/>
          <w:szCs w:val="18"/>
        </w:rPr>
        <w:t xml:space="preserve">Western Cape Education Department v General Public Service Sectoral Bargaining Council &amp; others </w:t>
      </w:r>
      <w:r w:rsidRPr="002C5E2F">
        <w:rPr>
          <w:rFonts w:ascii="Verdana" w:hAnsi="Verdana"/>
          <w:sz w:val="18"/>
          <w:szCs w:val="18"/>
        </w:rPr>
        <w:t xml:space="preserve">(at 3360) the Labour Appeal Court dismissed an appeal from an earlier decision of the Labour Court (reported at (2013) 34 </w:t>
      </w:r>
      <w:r w:rsidRPr="002C5E2F">
        <w:rPr>
          <w:rStyle w:val="BemboItalix"/>
          <w:rFonts w:ascii="Verdana" w:hAnsi="Verdana"/>
          <w:sz w:val="18"/>
          <w:szCs w:val="18"/>
        </w:rPr>
        <w:t>ILJ</w:t>
      </w:r>
      <w:r w:rsidRPr="002C5E2F">
        <w:rPr>
          <w:rFonts w:ascii="Verdana" w:hAnsi="Verdana"/>
          <w:sz w:val="18"/>
          <w:szCs w:val="18"/>
        </w:rPr>
        <w:t xml:space="preserve"> 2960 (LC)) and confirmed that the treatment of an employee whose requests for incapacity leave or ill-health retirement had been ignored, and where excessive deductions had been made from his salary, and who had thereafter resigned, amounted to his constructive dismissal. Unusually, the LAC also endorsed the employee’s request for reinstatement. The court held that in such circumstances, the employee must show that the intolerable conditions that prevailed at the time of the termination were no longer extant, and that he had done so. The commissioners in both </w:t>
      </w:r>
      <w:r w:rsidRPr="002C5E2F">
        <w:rPr>
          <w:rStyle w:val="BemboItalix"/>
          <w:rFonts w:ascii="Verdana" w:hAnsi="Verdana"/>
          <w:sz w:val="18"/>
          <w:szCs w:val="18"/>
        </w:rPr>
        <w:t xml:space="preserve">Baddley and B Lion Investment (Home of the Chicken Pie) </w:t>
      </w:r>
      <w:r w:rsidRPr="002C5E2F">
        <w:rPr>
          <w:rFonts w:ascii="Verdana" w:hAnsi="Verdana"/>
          <w:sz w:val="18"/>
          <w:szCs w:val="18"/>
        </w:rPr>
        <w:t xml:space="preserve">(at 3486) and </w:t>
      </w:r>
      <w:r w:rsidRPr="002C5E2F">
        <w:rPr>
          <w:rStyle w:val="BemboItalix"/>
          <w:rFonts w:ascii="Verdana" w:hAnsi="Verdana"/>
          <w:sz w:val="18"/>
          <w:szCs w:val="18"/>
        </w:rPr>
        <w:t xml:space="preserve">Madzie and University of Venda </w:t>
      </w:r>
      <w:r w:rsidRPr="002C5E2F">
        <w:rPr>
          <w:rFonts w:ascii="Verdana" w:hAnsi="Verdana"/>
          <w:sz w:val="18"/>
          <w:szCs w:val="18"/>
        </w:rPr>
        <w:t>(at 3496) considered the requirements that an employee had to meet in terms of s 186(1)</w:t>
      </w:r>
      <w:r w:rsidRPr="002C5E2F">
        <w:rPr>
          <w:rStyle w:val="BemboItalix"/>
          <w:rFonts w:ascii="Verdana" w:hAnsi="Verdana"/>
          <w:sz w:val="18"/>
          <w:szCs w:val="18"/>
        </w:rPr>
        <w:t>(e)</w:t>
      </w:r>
      <w:r w:rsidRPr="002C5E2F">
        <w:rPr>
          <w:rFonts w:ascii="Verdana" w:hAnsi="Verdana"/>
          <w:sz w:val="18"/>
          <w:szCs w:val="18"/>
        </w:rPr>
        <w:t xml:space="preserve"> of the LRA 1995 in order to prove that she had been constructively dismissed, and found that, on an overall conspectus of the facts, the employer had not created an intolerable working environment and that resignation was not the employee’s last resort. </w:t>
      </w:r>
    </w:p>
    <w:p w:rsidR="003B37FF" w:rsidRDefault="003B37FF" w:rsidP="003B37FF">
      <w:pPr>
        <w:pStyle w:val="LRHeadLevel1"/>
        <w:spacing w:before="0" w:after="0" w:line="240" w:lineRule="auto"/>
        <w:rPr>
          <w:rFonts w:ascii="MinionPro-Regular" w:eastAsiaTheme="minorEastAsia" w:hAnsi="MinionPro-Regular" w:cs="MinionPro-Regular"/>
          <w:sz w:val="24"/>
          <w:szCs w:val="24"/>
          <w:lang w:val="en-GB" w:eastAsia="en-ZA"/>
        </w:rPr>
      </w:pPr>
    </w:p>
    <w:p w:rsidR="003B37FF" w:rsidRPr="002C5E2F" w:rsidRDefault="003B37FF" w:rsidP="003B37FF">
      <w:pPr>
        <w:pStyle w:val="LRHeadLevel1"/>
        <w:spacing w:before="0" w:after="0" w:line="240" w:lineRule="auto"/>
        <w:rPr>
          <w:rFonts w:ascii="Verdana" w:hAnsi="Verdana"/>
          <w:b/>
          <w:sz w:val="18"/>
          <w:szCs w:val="18"/>
        </w:rPr>
      </w:pPr>
      <w:r w:rsidRPr="002C5E2F">
        <w:rPr>
          <w:rFonts w:ascii="Verdana" w:hAnsi="Verdana"/>
          <w:b/>
          <w:sz w:val="18"/>
          <w:szCs w:val="18"/>
        </w:rPr>
        <w:t>Other Dismissals</w:t>
      </w:r>
    </w:p>
    <w:p w:rsidR="003B37FF" w:rsidRDefault="003B37FF" w:rsidP="003B37FF">
      <w:pPr>
        <w:pStyle w:val="LRParaFL"/>
        <w:spacing w:line="240" w:lineRule="auto"/>
        <w:rPr>
          <w:rFonts w:ascii="Verdana" w:hAnsi="Verdana"/>
          <w:sz w:val="18"/>
          <w:szCs w:val="18"/>
        </w:rPr>
      </w:pPr>
      <w:r w:rsidRPr="002C5E2F">
        <w:rPr>
          <w:rFonts w:ascii="Verdana" w:hAnsi="Verdana"/>
          <w:sz w:val="18"/>
          <w:szCs w:val="18"/>
        </w:rPr>
        <w:lastRenderedPageBreak/>
        <w:t xml:space="preserve">The arbitrator in </w:t>
      </w:r>
      <w:r w:rsidRPr="002C5E2F">
        <w:rPr>
          <w:rStyle w:val="BemboItalix"/>
          <w:rFonts w:ascii="Verdana" w:hAnsi="Verdana"/>
          <w:sz w:val="18"/>
          <w:szCs w:val="18"/>
        </w:rPr>
        <w:t>Kubheka and Mortimer Toyota Harrismith</w:t>
      </w:r>
      <w:r w:rsidRPr="002C5E2F">
        <w:rPr>
          <w:rFonts w:ascii="Verdana" w:hAnsi="Verdana"/>
          <w:sz w:val="18"/>
          <w:szCs w:val="18"/>
        </w:rPr>
        <w:t xml:space="preserve"> (at 3507) held that an employee whose employment was terminated when he reached the age of 65 years had not been automatically unfairly dismissed because his employer had shown, in terms of s 187(2)</w:t>
      </w:r>
      <w:r w:rsidRPr="002C5E2F">
        <w:rPr>
          <w:rStyle w:val="BemboItalix"/>
          <w:rFonts w:ascii="Verdana" w:hAnsi="Verdana"/>
          <w:sz w:val="18"/>
          <w:szCs w:val="18"/>
        </w:rPr>
        <w:t xml:space="preserve">(b) </w:t>
      </w:r>
      <w:r w:rsidRPr="002C5E2F">
        <w:rPr>
          <w:rFonts w:ascii="Verdana" w:hAnsi="Verdana"/>
          <w:sz w:val="18"/>
          <w:szCs w:val="18"/>
        </w:rPr>
        <w:t xml:space="preserve">of the LRA 1995, that he had reached the age prescribed in the industry’s provident fund agreement. A traffic officer employed by the respondent municipality, in </w:t>
      </w:r>
      <w:r w:rsidRPr="002C5E2F">
        <w:rPr>
          <w:rStyle w:val="BemboItalix"/>
          <w:rFonts w:ascii="Verdana" w:hAnsi="Verdana"/>
          <w:sz w:val="18"/>
          <w:szCs w:val="18"/>
        </w:rPr>
        <w:t xml:space="preserve">SA Municipal Workers Union on behalf of Nkomo and City of Cape Town </w:t>
      </w:r>
      <w:r w:rsidRPr="002C5E2F">
        <w:rPr>
          <w:rFonts w:ascii="Verdana" w:hAnsi="Verdana"/>
          <w:sz w:val="18"/>
          <w:szCs w:val="18"/>
        </w:rPr>
        <w:t>(at 3519), was dismissed for insubordination when she refused to obey an instruction by her superiors to return the key of a car to an unlicensed driver. The arbitrator found the instruction to be unreasonable and unlawful, and that she was entitled to refuse it.</w:t>
      </w:r>
    </w:p>
    <w:p w:rsidR="003B37FF" w:rsidRPr="002C5E2F" w:rsidRDefault="003B37FF" w:rsidP="003B37FF">
      <w:pPr>
        <w:pStyle w:val="BasicParagraph"/>
      </w:pPr>
    </w:p>
    <w:p w:rsidR="003B37FF" w:rsidRPr="002C5E2F" w:rsidRDefault="003B37FF" w:rsidP="003B37FF">
      <w:pPr>
        <w:pStyle w:val="LRHeadLevel1"/>
        <w:spacing w:before="0" w:after="0" w:line="240" w:lineRule="auto"/>
        <w:rPr>
          <w:rFonts w:ascii="Verdana" w:hAnsi="Verdana"/>
          <w:b/>
          <w:sz w:val="18"/>
          <w:szCs w:val="18"/>
        </w:rPr>
      </w:pPr>
      <w:r w:rsidRPr="002C5E2F">
        <w:rPr>
          <w:rFonts w:ascii="Verdana" w:hAnsi="Verdana"/>
          <w:b/>
          <w:sz w:val="18"/>
          <w:szCs w:val="18"/>
        </w:rPr>
        <w:t>Registration of Bargaining Councils</w:t>
      </w:r>
    </w:p>
    <w:p w:rsidR="003B37FF" w:rsidRDefault="003B37FF" w:rsidP="003B37FF">
      <w:pPr>
        <w:pStyle w:val="LRParaFL"/>
        <w:spacing w:line="240" w:lineRule="auto"/>
        <w:rPr>
          <w:rFonts w:ascii="Verdana" w:hAnsi="Verdana"/>
          <w:sz w:val="18"/>
          <w:szCs w:val="18"/>
        </w:rPr>
      </w:pPr>
      <w:r w:rsidRPr="002C5E2F">
        <w:rPr>
          <w:rFonts w:ascii="Verdana" w:hAnsi="Verdana"/>
          <w:sz w:val="18"/>
          <w:szCs w:val="18"/>
        </w:rPr>
        <w:t xml:space="preserve">The Labour Court considered the matters to be considered by the Registrar of Labour Relations when called upon in terms of s 58(1) of the LRA 1995 to vary the scope of registration of a bargaining council in </w:t>
      </w:r>
      <w:r w:rsidRPr="002C5E2F">
        <w:rPr>
          <w:rStyle w:val="BemboItalix"/>
          <w:rFonts w:ascii="Verdana" w:hAnsi="Verdana"/>
          <w:sz w:val="18"/>
          <w:szCs w:val="18"/>
        </w:rPr>
        <w:t xml:space="preserve">Servworx (Pty) Ltd v Registrar of Labour Relations &amp; another </w:t>
      </w:r>
      <w:r w:rsidRPr="002C5E2F">
        <w:rPr>
          <w:rFonts w:ascii="Verdana" w:hAnsi="Verdana"/>
          <w:sz w:val="18"/>
          <w:szCs w:val="18"/>
        </w:rPr>
        <w:t xml:space="preserve">(at 3476). The registrar may vary the registered scope if satisfied that the sector and area within which the council is representative does not coincide with that of another registered council, and is not required to satisfy himself that the council is sufficiently representative. </w:t>
      </w:r>
    </w:p>
    <w:p w:rsidR="003B37FF" w:rsidRPr="002C5E2F" w:rsidRDefault="003B37FF" w:rsidP="003B37FF">
      <w:pPr>
        <w:pStyle w:val="BasicParagraph"/>
      </w:pPr>
    </w:p>
    <w:p w:rsidR="003B37FF" w:rsidRPr="002C5E2F" w:rsidRDefault="003B37FF" w:rsidP="003B37FF">
      <w:pPr>
        <w:pStyle w:val="LRHeadLevel1"/>
        <w:spacing w:before="0" w:after="0" w:line="240" w:lineRule="auto"/>
        <w:rPr>
          <w:rFonts w:ascii="Verdana" w:hAnsi="Verdana" w:cs="BemboStd"/>
          <w:b/>
          <w:sz w:val="18"/>
          <w:szCs w:val="18"/>
        </w:rPr>
      </w:pPr>
      <w:r w:rsidRPr="002C5E2F">
        <w:rPr>
          <w:rFonts w:ascii="Verdana" w:hAnsi="Verdana"/>
          <w:b/>
          <w:sz w:val="18"/>
          <w:szCs w:val="18"/>
        </w:rPr>
        <w:t>Practice and Procedure</w:t>
      </w:r>
    </w:p>
    <w:p w:rsidR="003B37FF" w:rsidRPr="002C5E2F" w:rsidRDefault="003B37FF" w:rsidP="003B37FF">
      <w:pPr>
        <w:pStyle w:val="LRParaFL"/>
        <w:spacing w:line="240" w:lineRule="auto"/>
        <w:rPr>
          <w:rFonts w:ascii="Verdana" w:hAnsi="Verdana"/>
          <w:sz w:val="18"/>
          <w:szCs w:val="18"/>
        </w:rPr>
      </w:pPr>
      <w:r w:rsidRPr="002C5E2F">
        <w:rPr>
          <w:rFonts w:ascii="Verdana" w:hAnsi="Verdana"/>
          <w:sz w:val="18"/>
          <w:szCs w:val="18"/>
        </w:rPr>
        <w:t xml:space="preserve">In </w:t>
      </w:r>
      <w:r w:rsidRPr="002C5E2F">
        <w:rPr>
          <w:rStyle w:val="BemboItalix"/>
          <w:rFonts w:ascii="Verdana" w:hAnsi="Verdana"/>
          <w:sz w:val="18"/>
          <w:szCs w:val="18"/>
        </w:rPr>
        <w:t xml:space="preserve">City of Johannesburg v SA Municipal Workers Union on behalf of Motaung &amp; others </w:t>
      </w:r>
      <w:r w:rsidRPr="002C5E2F">
        <w:rPr>
          <w:rFonts w:ascii="Verdana" w:hAnsi="Verdana"/>
          <w:sz w:val="18"/>
          <w:szCs w:val="18"/>
        </w:rPr>
        <w:t xml:space="preserve">(at 3374), an arbitration award ordering the payment of an employee’s salary had been certified in terms of s 143(3) of the LRA 1995, and a writ of execution had been issued. The Labour Court refused to order a stay of execution at the employer’s request. The court considered the established principles for ordering a stay of execution and found that the employer would not suffer irreparable harm if the stay were refused. Any monies paid could later be deducted from the employee’s salary should the employer mount a successful review. The Labour Court set aside a number of </w:t>
      </w:r>
      <w:r w:rsidRPr="00DC723F">
        <w:rPr>
          <w:rFonts w:ascii="Verdana" w:hAnsi="Verdana"/>
          <w:i/>
          <w:sz w:val="18"/>
          <w:szCs w:val="18"/>
        </w:rPr>
        <w:t>subpoenas duces tecum</w:t>
      </w:r>
      <w:r w:rsidRPr="002C5E2F">
        <w:rPr>
          <w:rFonts w:ascii="Verdana" w:hAnsi="Verdana"/>
          <w:sz w:val="18"/>
          <w:szCs w:val="18"/>
        </w:rPr>
        <w:t xml:space="preserve"> issued in </w:t>
      </w:r>
      <w:r w:rsidRPr="002C5E2F">
        <w:rPr>
          <w:rStyle w:val="BemboItalix"/>
          <w:rFonts w:ascii="Verdana" w:hAnsi="Verdana"/>
          <w:sz w:val="18"/>
          <w:szCs w:val="18"/>
        </w:rPr>
        <w:t>Discovery Health Ltd &amp; others v Jacobs</w:t>
      </w:r>
      <w:r w:rsidRPr="002C5E2F">
        <w:rPr>
          <w:rFonts w:ascii="Verdana" w:hAnsi="Verdana"/>
          <w:sz w:val="18"/>
          <w:szCs w:val="18"/>
        </w:rPr>
        <w:t xml:space="preserve"> (at 3385), finding that they had been called not to facilitate the pursuit of the truth, but to intimidate, harass and embarrass the other party’s witnesses.</w:t>
      </w:r>
    </w:p>
    <w:p w:rsidR="003B37FF" w:rsidRPr="00796068" w:rsidRDefault="003B37FF" w:rsidP="003B37FF">
      <w:pPr>
        <w:pStyle w:val="LRParaFL"/>
        <w:spacing w:line="240" w:lineRule="auto"/>
        <w:rPr>
          <w:rFonts w:ascii="Verdana" w:hAnsi="Verdana"/>
          <w:b/>
          <w:sz w:val="18"/>
          <w:szCs w:val="18"/>
        </w:rPr>
      </w:pPr>
    </w:p>
    <w:p w:rsidR="003B37FF" w:rsidRPr="00796068" w:rsidRDefault="003B37FF" w:rsidP="00796068">
      <w:pPr>
        <w:pStyle w:val="BasicParagraph"/>
        <w:rPr>
          <w:rFonts w:ascii="Verdana" w:hAnsi="Verdana" w:cs="HelveticaLTStd-Roman"/>
          <w:b/>
          <w:sz w:val="18"/>
          <w:szCs w:val="18"/>
          <w:lang w:val="en-US" w:eastAsia="en-US"/>
        </w:rPr>
      </w:pPr>
      <w:r w:rsidRPr="00796068">
        <w:rPr>
          <w:rFonts w:ascii="Verdana" w:hAnsi="Verdana" w:cs="HelveticaLTStd-Roman"/>
          <w:b/>
          <w:sz w:val="18"/>
          <w:szCs w:val="18"/>
          <w:lang w:val="en-US" w:eastAsia="en-US"/>
        </w:rPr>
        <w:t>Quote of the Month:</w:t>
      </w:r>
    </w:p>
    <w:p w:rsidR="003B37FF" w:rsidRPr="002C5E2F" w:rsidRDefault="003B37FF" w:rsidP="003B37FF">
      <w:pPr>
        <w:pStyle w:val="LRParaFL"/>
        <w:spacing w:line="240" w:lineRule="auto"/>
        <w:rPr>
          <w:rFonts w:ascii="Verdana" w:hAnsi="Verdana"/>
          <w:sz w:val="18"/>
          <w:szCs w:val="18"/>
        </w:rPr>
      </w:pPr>
      <w:r w:rsidRPr="002C5E2F">
        <w:rPr>
          <w:rFonts w:ascii="Verdana" w:hAnsi="Verdana"/>
          <w:sz w:val="18"/>
          <w:szCs w:val="18"/>
        </w:rPr>
        <w:t xml:space="preserve">Navsa ADP in </w:t>
      </w:r>
      <w:r w:rsidRPr="002C5E2F">
        <w:rPr>
          <w:rStyle w:val="BemboItalix"/>
          <w:rFonts w:ascii="Verdana" w:hAnsi="Verdana"/>
          <w:sz w:val="18"/>
          <w:szCs w:val="18"/>
        </w:rPr>
        <w:t>MEC for the Department of Health, Free State Province v DN</w:t>
      </w:r>
      <w:r w:rsidRPr="002C5E2F">
        <w:rPr>
          <w:rFonts w:ascii="Verdana" w:hAnsi="Verdana"/>
          <w:sz w:val="18"/>
          <w:szCs w:val="18"/>
        </w:rPr>
        <w:t xml:space="preserve"> (2014) 35 </w:t>
      </w:r>
      <w:r w:rsidRPr="002C5E2F">
        <w:rPr>
          <w:rStyle w:val="BemboItalix"/>
          <w:rFonts w:ascii="Verdana" w:hAnsi="Verdana"/>
          <w:sz w:val="18"/>
          <w:szCs w:val="18"/>
        </w:rPr>
        <w:t>ILJ</w:t>
      </w:r>
      <w:r w:rsidRPr="002C5E2F">
        <w:rPr>
          <w:rFonts w:ascii="Verdana" w:hAnsi="Verdana"/>
          <w:sz w:val="18"/>
          <w:szCs w:val="18"/>
        </w:rPr>
        <w:t xml:space="preserve"> 3301 (SCA):</w:t>
      </w:r>
      <w:r w:rsidR="00597FAB">
        <w:rPr>
          <w:rFonts w:ascii="Verdana" w:hAnsi="Verdana"/>
          <w:sz w:val="18"/>
          <w:szCs w:val="18"/>
        </w:rPr>
        <w:br/>
      </w:r>
    </w:p>
    <w:p w:rsidR="003B37FF" w:rsidRPr="002C5E2F" w:rsidRDefault="003B37FF" w:rsidP="00597FAB">
      <w:pPr>
        <w:pStyle w:val="LRParaFL"/>
        <w:spacing w:line="240" w:lineRule="auto"/>
        <w:ind w:left="720"/>
        <w:rPr>
          <w:rFonts w:ascii="Verdana" w:hAnsi="Verdana"/>
          <w:sz w:val="18"/>
          <w:szCs w:val="18"/>
        </w:rPr>
      </w:pPr>
      <w:r w:rsidRPr="002C5E2F">
        <w:rPr>
          <w:rFonts w:ascii="Verdana" w:hAnsi="Verdana"/>
          <w:sz w:val="18"/>
          <w:szCs w:val="18"/>
        </w:rPr>
        <w:t>‘Dealing with a vulnerable class within our society and contemplating that rape is a scourge of South African society, I have difficulty contemplating that employees would be assisted if their common-law rights were to be restricted as proposed on behalf of the MEC. If anything, it might rightly be said to be adverse to the interest of employees injured by rape to restrict them to COIDA. It would be sending an unacceptable message to employees, especially women, namely, that you are precluded from suing your employer for what you assert is a failure to provide reasonable protective measures against rape because rape directed against women is a risk inherent in employment in South Africa. This cannot be what our Constitution will countenance.’</w:t>
      </w:r>
    </w:p>
    <w:p w:rsidR="00A32526" w:rsidRPr="00A32526" w:rsidRDefault="00A32526" w:rsidP="00A32526">
      <w:pPr>
        <w:autoSpaceDE w:val="0"/>
        <w:autoSpaceDN w:val="0"/>
        <w:adjustRightInd w:val="0"/>
        <w:spacing w:line="240" w:lineRule="atLeast"/>
        <w:jc w:val="both"/>
        <w:rPr>
          <w:rFonts w:ascii="Verdana" w:hAnsi="Verdana" w:cs="Bembo Std"/>
          <w:color w:val="211D1E"/>
          <w:sz w:val="18"/>
          <w:szCs w:val="18"/>
        </w:rPr>
      </w:pPr>
    </w:p>
    <w:p w:rsidR="00A32526" w:rsidRDefault="00A32526" w:rsidP="00895316">
      <w:pPr>
        <w:autoSpaceDE w:val="0"/>
        <w:autoSpaceDN w:val="0"/>
        <w:adjustRightInd w:val="0"/>
        <w:spacing w:line="240" w:lineRule="atLeast"/>
        <w:jc w:val="both"/>
        <w:rPr>
          <w:rFonts w:ascii="Verdana" w:hAnsi="Verdana" w:cs="Bembo Std"/>
          <w:sz w:val="18"/>
          <w:szCs w:val="18"/>
        </w:rPr>
      </w:pPr>
    </w:p>
    <w:sectPr w:rsidR="00A32526" w:rsidSect="0097679A">
      <w:headerReference w:type="default" r:id="rId11"/>
      <w:footerReference w:type="default" r:id="rId12"/>
      <w:pgSz w:w="11899" w:h="16838"/>
      <w:pgMar w:top="2552" w:right="1134" w:bottom="1985" w:left="1134" w:header="567" w:footer="36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4AE3" w:rsidRDefault="005F4AE3">
      <w:r>
        <w:separator/>
      </w:r>
    </w:p>
  </w:endnote>
  <w:endnote w:type="continuationSeparator" w:id="0">
    <w:p w:rsidR="005F4AE3" w:rsidRDefault="005F4AE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60409020205020404"/>
    <w:charset w:val="00"/>
    <w:family w:val="modern"/>
    <w:pitch w:val="fixed"/>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Book Antiqua Bold Italic">
    <w:altName w:val="Courier New"/>
    <w:panose1 w:val="020407020603050A0204"/>
    <w:charset w:val="00"/>
    <w:family w:val="auto"/>
    <w:pitch w:val="variable"/>
    <w:sig w:usb0="03000000" w:usb1="00000000" w:usb2="00000000" w:usb3="00000000" w:csb0="00000001" w:csb1="00000000"/>
  </w:font>
  <w:font w:name="ITC Legacy Sans Book">
    <w:altName w:val="Courier New"/>
    <w:charset w:val="00"/>
    <w:family w:val="auto"/>
    <w:pitch w:val="variable"/>
    <w:sig w:usb0="03000000" w:usb1="00000000" w:usb2="00000000" w:usb3="00000000" w:csb0="00000001" w:csb1="00000000"/>
  </w:font>
  <w:font w:name="LDNGK F+ Advhlv">
    <w:altName w:val="Advhlv"/>
    <w:panose1 w:val="00000000000000000000"/>
    <w:charset w:val="00"/>
    <w:family w:val="swiss"/>
    <w:notTrueType/>
    <w:pitch w:val="default"/>
    <w:sig w:usb0="00000003" w:usb1="00000000" w:usb2="00000000" w:usb3="00000000" w:csb0="00000001" w:csb1="00000000"/>
  </w:font>
  <w:font w:name="ECPHB C+ Advhlv">
    <w:altName w:val="Advhlv"/>
    <w:panose1 w:val="00000000000000000000"/>
    <w:charset w:val="00"/>
    <w:family w:val="swiss"/>
    <w:notTrueType/>
    <w:pitch w:val="default"/>
    <w:sig w:usb0="00000003" w:usb1="00000000" w:usb2="00000000" w:usb3="00000000" w:csb0="00000001" w:csb1="00000000"/>
  </w:font>
  <w:font w:name="Helvetica LT Std">
    <w:altName w:val="Helvetica LT St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Bembo Std">
    <w:altName w:val="Bembo Std"/>
    <w:panose1 w:val="00000000000000000000"/>
    <w:charset w:val="00"/>
    <w:family w:val="roman"/>
    <w:notTrueType/>
    <w:pitch w:val="default"/>
    <w:sig w:usb0="00000003" w:usb1="00000000" w:usb2="00000000" w:usb3="00000000" w:csb0="00000001" w:csb1="00000000"/>
  </w:font>
  <w:font w:name="HelveticaLTStd-Roman">
    <w:panose1 w:val="00000000000000000000"/>
    <w:charset w:val="00"/>
    <w:family w:val="swiss"/>
    <w:notTrueType/>
    <w:pitch w:val="default"/>
    <w:sig w:usb0="00000003" w:usb1="00000000" w:usb2="00000000" w:usb3="00000000" w:csb0="00000001" w:csb1="00000000"/>
  </w:font>
  <w:font w:name="BemboStd">
    <w:panose1 w:val="00000000000000000000"/>
    <w:charset w:val="00"/>
    <w:family w:val="roman"/>
    <w:notTrueType/>
    <w:pitch w:val="default"/>
    <w:sig w:usb0="00000003" w:usb1="00000000" w:usb2="00000000" w:usb3="00000000" w:csb0="00000001" w:csb1="00000000"/>
  </w:font>
  <w:font w:name="BemboStd-Italic">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inionPro-Regular">
    <w:panose1 w:val="00000000000000000000"/>
    <w:charset w:val="4D"/>
    <w:family w:val="auto"/>
    <w:notTrueType/>
    <w:pitch w:val="default"/>
    <w:sig w:usb0="00000003" w:usb1="00000000" w:usb2="00000000" w:usb3="00000000" w:csb0="00000001" w:csb1="00000000"/>
  </w:font>
  <w:font w:name="Lucida Sans">
    <w:panose1 w:val="020B06020405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61F6" w:rsidRDefault="007774E0">
    <w:pPr>
      <w:pStyle w:val="Footer"/>
      <w:jc w:val="center"/>
    </w:pPr>
    <w:r w:rsidRPr="007774E0">
      <w:rPr>
        <w:noProof/>
      </w:rPr>
      <w:pict>
        <v:shapetype id="_x0000_t202" coordsize="21600,21600" o:spt="202" path="m,l,21600r21600,l21600,xe">
          <v:stroke joinstyle="miter"/>
          <v:path gradientshapeok="t" o:connecttype="rect"/>
        </v:shapetype>
        <v:shape id="_x0000_s2051" type="#_x0000_t202" style="position:absolute;left:0;text-align:left;margin-left:241.7pt;margin-top:-43.45pt;width:290.55pt;height:69.45pt;z-index:1" filled="f" stroked="f">
          <v:textbox style="mso-next-textbox:#_x0000_s2051" inset="0,0,0,0">
            <w:txbxContent>
              <w:p w:rsidR="00C261F6" w:rsidRDefault="00C261F6">
                <w:pPr>
                  <w:spacing w:line="180" w:lineRule="exact"/>
                  <w:rPr>
                    <w:rFonts w:ascii="Lucida Sans" w:hAnsi="Lucida Sans"/>
                    <w:spacing w:val="3"/>
                    <w:sz w:val="12"/>
                  </w:rPr>
                </w:pPr>
                <w:r>
                  <w:rPr>
                    <w:rFonts w:ascii="Lucida Sans" w:hAnsi="Lucida Sans"/>
                    <w:spacing w:val="3"/>
                    <w:sz w:val="12"/>
                  </w:rPr>
                  <w:t xml:space="preserve">Website: </w:t>
                </w:r>
                <w:hyperlink r:id="rId1" w:history="1">
                  <w:r>
                    <w:rPr>
                      <w:rFonts w:ascii="Lucida Sans" w:hAnsi="Lucida Sans"/>
                      <w:spacing w:val="3"/>
                      <w:sz w:val="12"/>
                    </w:rPr>
                    <w:t>www.juta.co.za</w:t>
                  </w:r>
                </w:hyperlink>
                <w:r>
                  <w:rPr>
                    <w:rFonts w:ascii="Lucida Sans" w:hAnsi="Lucida Sans"/>
                    <w:spacing w:val="3"/>
                    <w:sz w:val="12"/>
                  </w:rPr>
                  <w:t>; e-mail:cserv@juta.co.za</w:t>
                </w:r>
              </w:p>
              <w:p w:rsidR="00C261F6" w:rsidRDefault="00C261F6">
                <w:pPr>
                  <w:pStyle w:val="BodyText2"/>
                  <w:rPr>
                    <w:rFonts w:ascii="Lucida Sans" w:hAnsi="Lucida Sans"/>
                    <w:sz w:val="12"/>
                  </w:rPr>
                </w:pPr>
              </w:p>
              <w:p w:rsidR="00C261F6" w:rsidRDefault="00C261F6">
                <w:pPr>
                  <w:pStyle w:val="BodyText2"/>
                  <w:rPr>
                    <w:rFonts w:ascii="Lucida Sans" w:hAnsi="Lucida Sans"/>
                    <w:sz w:val="11"/>
                  </w:rPr>
                </w:pPr>
                <w:r>
                  <w:rPr>
                    <w:rFonts w:ascii="Lucida Sans" w:hAnsi="Lucida Sans"/>
                    <w:sz w:val="12"/>
                  </w:rPr>
                  <w:t>Juta and Company Ltd, REG. NO. 1919/001812/06, VAT REG. NO. 4520113319</w:t>
                </w:r>
              </w:p>
            </w:txbxContent>
          </v:textbox>
        </v:shape>
      </w:pict>
    </w:r>
    <w:r w:rsidRPr="007774E0">
      <w:rPr>
        <w:noProof/>
      </w:rPr>
      <w:pict>
        <v:shape id="_x0000_s2055" type="#_x0000_t202" style="position:absolute;left:0;text-align:left;margin-left:-9.1pt;margin-top:-42.95pt;width:240.15pt;height:69.45pt;z-index:2" o:allowincell="f" filled="f" stroked="f">
          <v:textbox style="mso-next-textbox:#_x0000_s2055" inset="0,0,0,0">
            <w:txbxContent>
              <w:p w:rsidR="00C261F6" w:rsidRDefault="00C261F6" w:rsidP="000456D8">
                <w:pPr>
                  <w:spacing w:line="180" w:lineRule="exact"/>
                  <w:jc w:val="right"/>
                  <w:rPr>
                    <w:rFonts w:ascii="Lucida Sans" w:hAnsi="Lucida Sans"/>
                    <w:spacing w:val="3"/>
                    <w:sz w:val="12"/>
                  </w:rPr>
                </w:pPr>
                <w:r>
                  <w:rPr>
                    <w:rFonts w:ascii="Lucida Sans" w:hAnsi="Lucida Sans"/>
                    <w:spacing w:val="3"/>
                    <w:sz w:val="12"/>
                  </w:rPr>
                  <w:t xml:space="preserve">Ground Floor, Sunclare Building, 21 Dreyer Street, Claremont, </w:t>
                </w:r>
              </w:p>
              <w:p w:rsidR="00C261F6" w:rsidRDefault="00C261F6" w:rsidP="000456D8">
                <w:pPr>
                  <w:spacing w:line="180" w:lineRule="exact"/>
                  <w:jc w:val="right"/>
                  <w:rPr>
                    <w:rFonts w:ascii="Lucida Sans" w:hAnsi="Lucida Sans"/>
                    <w:spacing w:val="3"/>
                    <w:sz w:val="12"/>
                  </w:rPr>
                </w:pPr>
                <w:r>
                  <w:rPr>
                    <w:rFonts w:ascii="Lucida Sans" w:hAnsi="Lucida Sans"/>
                    <w:spacing w:val="3"/>
                    <w:sz w:val="12"/>
                  </w:rPr>
                  <w:t>Cape Town, South Africa</w:t>
                </w:r>
              </w:p>
              <w:p w:rsidR="00C261F6" w:rsidRDefault="00C261F6" w:rsidP="000456D8">
                <w:pPr>
                  <w:pStyle w:val="BodyText"/>
                  <w:jc w:val="right"/>
                  <w:rPr>
                    <w:rFonts w:ascii="Lucida Sans" w:hAnsi="Lucida Sans"/>
                    <w:sz w:val="12"/>
                  </w:rPr>
                </w:pPr>
                <w:smartTag w:uri="urn:schemas-microsoft-com:office:smarttags" w:element="address">
                  <w:smartTag w:uri="urn:schemas-microsoft-com:office:smarttags" w:element="Street">
                    <w:r>
                      <w:rPr>
                        <w:rFonts w:ascii="Lucida Sans" w:hAnsi="Lucida Sans"/>
                        <w:sz w:val="12"/>
                      </w:rPr>
                      <w:t>PO Box</w:t>
                    </w:r>
                  </w:smartTag>
                  <w:r>
                    <w:rPr>
                      <w:rFonts w:ascii="Lucida Sans" w:hAnsi="Lucida Sans"/>
                      <w:sz w:val="12"/>
                    </w:rPr>
                    <w:t xml:space="preserve"> 14373</w:t>
                  </w:r>
                </w:smartTag>
                <w:r>
                  <w:rPr>
                    <w:rFonts w:ascii="Lucida Sans" w:hAnsi="Lucida Sans"/>
                    <w:sz w:val="12"/>
                  </w:rPr>
                  <w:t xml:space="preserve">, Lansdowne 7779; Docex Number: DX 326, </w:t>
                </w:r>
                <w:smartTag w:uri="urn:schemas-microsoft-com:office:smarttags" w:element="City">
                  <w:smartTag w:uri="urn:schemas-microsoft-com:office:smarttags" w:element="place">
                    <w:r>
                      <w:rPr>
                        <w:rFonts w:ascii="Lucida Sans" w:hAnsi="Lucida Sans"/>
                        <w:sz w:val="12"/>
                      </w:rPr>
                      <w:t>Cape Town</w:t>
                    </w:r>
                  </w:smartTag>
                </w:smartTag>
              </w:p>
              <w:p w:rsidR="00C261F6" w:rsidRDefault="00C261F6" w:rsidP="000456D8">
                <w:pPr>
                  <w:spacing w:line="180" w:lineRule="exact"/>
                  <w:jc w:val="right"/>
                  <w:rPr>
                    <w:rFonts w:ascii="Lucida Sans" w:hAnsi="Lucida Sans"/>
                    <w:spacing w:val="3"/>
                    <w:sz w:val="12"/>
                  </w:rPr>
                </w:pPr>
                <w:r>
                  <w:rPr>
                    <w:rFonts w:ascii="Lucida Sans" w:hAnsi="Lucida Sans"/>
                    <w:spacing w:val="3"/>
                    <w:sz w:val="12"/>
                  </w:rPr>
                  <w:t xml:space="preserve">Tel: +27 21 659 2300, Fax: +27 21 659 2360  </w:t>
                </w:r>
              </w:p>
              <w:p w:rsidR="00C261F6" w:rsidRPr="000456D8" w:rsidRDefault="00C261F6" w:rsidP="000456D8"/>
            </w:txbxContent>
          </v:textbox>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25pt;height:44.25pt" fillcolor="window">
          <v:imagedata r:id="rId2" r:href="rId3"/>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4AE3" w:rsidRDefault="005F4AE3">
      <w:r>
        <w:separator/>
      </w:r>
    </w:p>
  </w:footnote>
  <w:footnote w:type="continuationSeparator" w:id="0">
    <w:p w:rsidR="005F4AE3" w:rsidRDefault="005F4A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61F6" w:rsidRDefault="007774E0" w:rsidP="00D66A40">
    <w:pPr>
      <w:pStyle w:val="Header"/>
      <w:tabs>
        <w:tab w:val="clear" w:pos="4320"/>
        <w:tab w:val="clear" w:pos="8640"/>
      </w:tabs>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pt;height:84pt">
          <v:imagedata r:id="rId1" o:title="JUTA%20Law"/>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3E7189"/>
    <w:multiLevelType w:val="multilevel"/>
    <w:tmpl w:val="A522B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0A1D85"/>
    <w:multiLevelType w:val="multilevel"/>
    <w:tmpl w:val="69624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9D022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24A80740"/>
    <w:multiLevelType w:val="hybridMultilevel"/>
    <w:tmpl w:val="94C279E8"/>
    <w:lvl w:ilvl="0" w:tplc="1C090001">
      <w:start w:val="1"/>
      <w:numFmt w:val="bullet"/>
      <w:lvlText w:val=""/>
      <w:lvlJc w:val="left"/>
      <w:pPr>
        <w:tabs>
          <w:tab w:val="num" w:pos="720"/>
        </w:tabs>
        <w:ind w:left="720" w:hanging="360"/>
      </w:pPr>
      <w:rPr>
        <w:rFonts w:ascii="Symbol" w:hAnsi="Symbol" w:hint="default"/>
      </w:rPr>
    </w:lvl>
    <w:lvl w:ilvl="1" w:tplc="1C090003" w:tentative="1">
      <w:start w:val="1"/>
      <w:numFmt w:val="bullet"/>
      <w:lvlText w:val="o"/>
      <w:lvlJc w:val="left"/>
      <w:pPr>
        <w:tabs>
          <w:tab w:val="num" w:pos="1440"/>
        </w:tabs>
        <w:ind w:left="1440" w:hanging="360"/>
      </w:pPr>
      <w:rPr>
        <w:rFonts w:ascii="Courier New" w:hAnsi="Courier New" w:cs="Courier New" w:hint="default"/>
      </w:rPr>
    </w:lvl>
    <w:lvl w:ilvl="2" w:tplc="1C090005" w:tentative="1">
      <w:start w:val="1"/>
      <w:numFmt w:val="bullet"/>
      <w:lvlText w:val=""/>
      <w:lvlJc w:val="left"/>
      <w:pPr>
        <w:tabs>
          <w:tab w:val="num" w:pos="2160"/>
        </w:tabs>
        <w:ind w:left="2160" w:hanging="360"/>
      </w:pPr>
      <w:rPr>
        <w:rFonts w:ascii="Wingdings" w:hAnsi="Wingdings" w:hint="default"/>
      </w:rPr>
    </w:lvl>
    <w:lvl w:ilvl="3" w:tplc="1C090001" w:tentative="1">
      <w:start w:val="1"/>
      <w:numFmt w:val="bullet"/>
      <w:lvlText w:val=""/>
      <w:lvlJc w:val="left"/>
      <w:pPr>
        <w:tabs>
          <w:tab w:val="num" w:pos="2880"/>
        </w:tabs>
        <w:ind w:left="2880" w:hanging="360"/>
      </w:pPr>
      <w:rPr>
        <w:rFonts w:ascii="Symbol" w:hAnsi="Symbol" w:hint="default"/>
      </w:rPr>
    </w:lvl>
    <w:lvl w:ilvl="4" w:tplc="1C090003" w:tentative="1">
      <w:start w:val="1"/>
      <w:numFmt w:val="bullet"/>
      <w:lvlText w:val="o"/>
      <w:lvlJc w:val="left"/>
      <w:pPr>
        <w:tabs>
          <w:tab w:val="num" w:pos="3600"/>
        </w:tabs>
        <w:ind w:left="3600" w:hanging="360"/>
      </w:pPr>
      <w:rPr>
        <w:rFonts w:ascii="Courier New" w:hAnsi="Courier New" w:cs="Courier New" w:hint="default"/>
      </w:rPr>
    </w:lvl>
    <w:lvl w:ilvl="5" w:tplc="1C090005" w:tentative="1">
      <w:start w:val="1"/>
      <w:numFmt w:val="bullet"/>
      <w:lvlText w:val=""/>
      <w:lvlJc w:val="left"/>
      <w:pPr>
        <w:tabs>
          <w:tab w:val="num" w:pos="4320"/>
        </w:tabs>
        <w:ind w:left="4320" w:hanging="360"/>
      </w:pPr>
      <w:rPr>
        <w:rFonts w:ascii="Wingdings" w:hAnsi="Wingdings" w:hint="default"/>
      </w:rPr>
    </w:lvl>
    <w:lvl w:ilvl="6" w:tplc="1C090001" w:tentative="1">
      <w:start w:val="1"/>
      <w:numFmt w:val="bullet"/>
      <w:lvlText w:val=""/>
      <w:lvlJc w:val="left"/>
      <w:pPr>
        <w:tabs>
          <w:tab w:val="num" w:pos="5040"/>
        </w:tabs>
        <w:ind w:left="5040" w:hanging="360"/>
      </w:pPr>
      <w:rPr>
        <w:rFonts w:ascii="Symbol" w:hAnsi="Symbol" w:hint="default"/>
      </w:rPr>
    </w:lvl>
    <w:lvl w:ilvl="7" w:tplc="1C090003" w:tentative="1">
      <w:start w:val="1"/>
      <w:numFmt w:val="bullet"/>
      <w:lvlText w:val="o"/>
      <w:lvlJc w:val="left"/>
      <w:pPr>
        <w:tabs>
          <w:tab w:val="num" w:pos="5760"/>
        </w:tabs>
        <w:ind w:left="5760" w:hanging="360"/>
      </w:pPr>
      <w:rPr>
        <w:rFonts w:ascii="Courier New" w:hAnsi="Courier New" w:cs="Courier New" w:hint="default"/>
      </w:rPr>
    </w:lvl>
    <w:lvl w:ilvl="8" w:tplc="1C090005" w:tentative="1">
      <w:start w:val="1"/>
      <w:numFmt w:val="bullet"/>
      <w:lvlText w:val=""/>
      <w:lvlJc w:val="left"/>
      <w:pPr>
        <w:tabs>
          <w:tab w:val="num" w:pos="6480"/>
        </w:tabs>
        <w:ind w:left="6480" w:hanging="360"/>
      </w:pPr>
      <w:rPr>
        <w:rFonts w:ascii="Wingdings" w:hAnsi="Wingdings" w:hint="default"/>
      </w:rPr>
    </w:lvl>
  </w:abstractNum>
  <w:abstractNum w:abstractNumId="4">
    <w:nsid w:val="29A37EEC"/>
    <w:multiLevelType w:val="hybridMultilevel"/>
    <w:tmpl w:val="26142CC2"/>
    <w:lvl w:ilvl="0" w:tplc="F24CFAAC">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F01C6E"/>
    <w:multiLevelType w:val="multilevel"/>
    <w:tmpl w:val="B8E0E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C3410CF"/>
    <w:multiLevelType w:val="multilevel"/>
    <w:tmpl w:val="259C4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EE83655"/>
    <w:multiLevelType w:val="hybridMultilevel"/>
    <w:tmpl w:val="C7E40740"/>
    <w:lvl w:ilvl="0" w:tplc="04090003">
      <w:start w:val="1"/>
      <w:numFmt w:val="bullet"/>
      <w:lvlText w:val="o"/>
      <w:lvlJc w:val="left"/>
      <w:pPr>
        <w:tabs>
          <w:tab w:val="num" w:pos="720"/>
        </w:tabs>
        <w:ind w:left="720" w:hanging="360"/>
      </w:pPr>
      <w:rPr>
        <w:rFonts w:ascii="Courier New" w:hAnsi="Courier New" w:hint="default"/>
      </w:rPr>
    </w:lvl>
    <w:lvl w:ilvl="1" w:tplc="90AC8AD8">
      <w:start w:val="5"/>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7062D1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8A0119A"/>
    <w:multiLevelType w:val="hybridMultilevel"/>
    <w:tmpl w:val="C59A3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BB955DF"/>
    <w:multiLevelType w:val="hybridMultilevel"/>
    <w:tmpl w:val="146E4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C195448"/>
    <w:multiLevelType w:val="hybridMultilevel"/>
    <w:tmpl w:val="1F543D9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Tahoma"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Tahoma"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Tahoma"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4264432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nsid w:val="4AB42C5F"/>
    <w:multiLevelType w:val="multilevel"/>
    <w:tmpl w:val="E806B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69144F1"/>
    <w:multiLevelType w:val="multilevel"/>
    <w:tmpl w:val="18E8E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AEA0AC8"/>
    <w:multiLevelType w:val="hybridMultilevel"/>
    <w:tmpl w:val="89AAA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C393E99"/>
    <w:multiLevelType w:val="multilevel"/>
    <w:tmpl w:val="8F30A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3755591"/>
    <w:multiLevelType w:val="hybridMultilevel"/>
    <w:tmpl w:val="89201528"/>
    <w:lvl w:ilvl="0" w:tplc="C4DA97DE">
      <w:numFmt w:val="bullet"/>
      <w:lvlText w:val="-"/>
      <w:lvlJc w:val="left"/>
      <w:pPr>
        <w:tabs>
          <w:tab w:val="num" w:pos="720"/>
        </w:tabs>
        <w:ind w:left="720" w:hanging="360"/>
      </w:pPr>
      <w:rPr>
        <w:rFonts w:ascii="Times New Roman" w:eastAsia="Times New Roman" w:hAnsi="Times New Roman" w:cs="Times New Roman" w:hint="default"/>
      </w:rPr>
    </w:lvl>
    <w:lvl w:ilvl="1" w:tplc="1C090003" w:tentative="1">
      <w:start w:val="1"/>
      <w:numFmt w:val="bullet"/>
      <w:lvlText w:val="o"/>
      <w:lvlJc w:val="left"/>
      <w:pPr>
        <w:tabs>
          <w:tab w:val="num" w:pos="1440"/>
        </w:tabs>
        <w:ind w:left="1440" w:hanging="360"/>
      </w:pPr>
      <w:rPr>
        <w:rFonts w:ascii="Courier New" w:hAnsi="Courier New" w:cs="Courier New" w:hint="default"/>
      </w:rPr>
    </w:lvl>
    <w:lvl w:ilvl="2" w:tplc="1C090005" w:tentative="1">
      <w:start w:val="1"/>
      <w:numFmt w:val="bullet"/>
      <w:lvlText w:val=""/>
      <w:lvlJc w:val="left"/>
      <w:pPr>
        <w:tabs>
          <w:tab w:val="num" w:pos="2160"/>
        </w:tabs>
        <w:ind w:left="2160" w:hanging="360"/>
      </w:pPr>
      <w:rPr>
        <w:rFonts w:ascii="Wingdings" w:hAnsi="Wingdings" w:hint="default"/>
      </w:rPr>
    </w:lvl>
    <w:lvl w:ilvl="3" w:tplc="1C090001" w:tentative="1">
      <w:start w:val="1"/>
      <w:numFmt w:val="bullet"/>
      <w:lvlText w:val=""/>
      <w:lvlJc w:val="left"/>
      <w:pPr>
        <w:tabs>
          <w:tab w:val="num" w:pos="2880"/>
        </w:tabs>
        <w:ind w:left="2880" w:hanging="360"/>
      </w:pPr>
      <w:rPr>
        <w:rFonts w:ascii="Symbol" w:hAnsi="Symbol" w:hint="default"/>
      </w:rPr>
    </w:lvl>
    <w:lvl w:ilvl="4" w:tplc="1C090003" w:tentative="1">
      <w:start w:val="1"/>
      <w:numFmt w:val="bullet"/>
      <w:lvlText w:val="o"/>
      <w:lvlJc w:val="left"/>
      <w:pPr>
        <w:tabs>
          <w:tab w:val="num" w:pos="3600"/>
        </w:tabs>
        <w:ind w:left="3600" w:hanging="360"/>
      </w:pPr>
      <w:rPr>
        <w:rFonts w:ascii="Courier New" w:hAnsi="Courier New" w:cs="Courier New" w:hint="default"/>
      </w:rPr>
    </w:lvl>
    <w:lvl w:ilvl="5" w:tplc="1C090005" w:tentative="1">
      <w:start w:val="1"/>
      <w:numFmt w:val="bullet"/>
      <w:lvlText w:val=""/>
      <w:lvlJc w:val="left"/>
      <w:pPr>
        <w:tabs>
          <w:tab w:val="num" w:pos="4320"/>
        </w:tabs>
        <w:ind w:left="4320" w:hanging="360"/>
      </w:pPr>
      <w:rPr>
        <w:rFonts w:ascii="Wingdings" w:hAnsi="Wingdings" w:hint="default"/>
      </w:rPr>
    </w:lvl>
    <w:lvl w:ilvl="6" w:tplc="1C090001" w:tentative="1">
      <w:start w:val="1"/>
      <w:numFmt w:val="bullet"/>
      <w:lvlText w:val=""/>
      <w:lvlJc w:val="left"/>
      <w:pPr>
        <w:tabs>
          <w:tab w:val="num" w:pos="5040"/>
        </w:tabs>
        <w:ind w:left="5040" w:hanging="360"/>
      </w:pPr>
      <w:rPr>
        <w:rFonts w:ascii="Symbol" w:hAnsi="Symbol" w:hint="default"/>
      </w:rPr>
    </w:lvl>
    <w:lvl w:ilvl="7" w:tplc="1C090003" w:tentative="1">
      <w:start w:val="1"/>
      <w:numFmt w:val="bullet"/>
      <w:lvlText w:val="o"/>
      <w:lvlJc w:val="left"/>
      <w:pPr>
        <w:tabs>
          <w:tab w:val="num" w:pos="5760"/>
        </w:tabs>
        <w:ind w:left="5760" w:hanging="360"/>
      </w:pPr>
      <w:rPr>
        <w:rFonts w:ascii="Courier New" w:hAnsi="Courier New" w:cs="Courier New" w:hint="default"/>
      </w:rPr>
    </w:lvl>
    <w:lvl w:ilvl="8" w:tplc="1C090005" w:tentative="1">
      <w:start w:val="1"/>
      <w:numFmt w:val="bullet"/>
      <w:lvlText w:val=""/>
      <w:lvlJc w:val="left"/>
      <w:pPr>
        <w:tabs>
          <w:tab w:val="num" w:pos="6480"/>
        </w:tabs>
        <w:ind w:left="6480" w:hanging="360"/>
      </w:pPr>
      <w:rPr>
        <w:rFonts w:ascii="Wingdings" w:hAnsi="Wingdings" w:hint="default"/>
      </w:rPr>
    </w:lvl>
  </w:abstractNum>
  <w:abstractNum w:abstractNumId="18">
    <w:nsid w:val="65D60EAE"/>
    <w:multiLevelType w:val="hybridMultilevel"/>
    <w:tmpl w:val="C898E5C4"/>
    <w:lvl w:ilvl="0" w:tplc="1C090001">
      <w:start w:val="1"/>
      <w:numFmt w:val="bullet"/>
      <w:lvlText w:val=""/>
      <w:lvlJc w:val="left"/>
      <w:pPr>
        <w:tabs>
          <w:tab w:val="num" w:pos="720"/>
        </w:tabs>
        <w:ind w:left="720" w:hanging="360"/>
      </w:pPr>
      <w:rPr>
        <w:rFonts w:ascii="Symbol" w:hAnsi="Symbol" w:hint="default"/>
      </w:rPr>
    </w:lvl>
    <w:lvl w:ilvl="1" w:tplc="1C090003">
      <w:start w:val="1"/>
      <w:numFmt w:val="bullet"/>
      <w:lvlText w:val="o"/>
      <w:lvlJc w:val="left"/>
      <w:pPr>
        <w:tabs>
          <w:tab w:val="num" w:pos="1440"/>
        </w:tabs>
        <w:ind w:left="1440" w:hanging="360"/>
      </w:pPr>
      <w:rPr>
        <w:rFonts w:ascii="Courier New" w:hAnsi="Courier New" w:cs="Courier New" w:hint="default"/>
      </w:rPr>
    </w:lvl>
    <w:lvl w:ilvl="2" w:tplc="1C090005" w:tentative="1">
      <w:start w:val="1"/>
      <w:numFmt w:val="bullet"/>
      <w:lvlText w:val=""/>
      <w:lvlJc w:val="left"/>
      <w:pPr>
        <w:tabs>
          <w:tab w:val="num" w:pos="2160"/>
        </w:tabs>
        <w:ind w:left="2160" w:hanging="360"/>
      </w:pPr>
      <w:rPr>
        <w:rFonts w:ascii="Wingdings" w:hAnsi="Wingdings" w:hint="default"/>
      </w:rPr>
    </w:lvl>
    <w:lvl w:ilvl="3" w:tplc="1C090001" w:tentative="1">
      <w:start w:val="1"/>
      <w:numFmt w:val="bullet"/>
      <w:lvlText w:val=""/>
      <w:lvlJc w:val="left"/>
      <w:pPr>
        <w:tabs>
          <w:tab w:val="num" w:pos="2880"/>
        </w:tabs>
        <w:ind w:left="2880" w:hanging="360"/>
      </w:pPr>
      <w:rPr>
        <w:rFonts w:ascii="Symbol" w:hAnsi="Symbol" w:hint="default"/>
      </w:rPr>
    </w:lvl>
    <w:lvl w:ilvl="4" w:tplc="1C090003" w:tentative="1">
      <w:start w:val="1"/>
      <w:numFmt w:val="bullet"/>
      <w:lvlText w:val="o"/>
      <w:lvlJc w:val="left"/>
      <w:pPr>
        <w:tabs>
          <w:tab w:val="num" w:pos="3600"/>
        </w:tabs>
        <w:ind w:left="3600" w:hanging="360"/>
      </w:pPr>
      <w:rPr>
        <w:rFonts w:ascii="Courier New" w:hAnsi="Courier New" w:cs="Courier New" w:hint="default"/>
      </w:rPr>
    </w:lvl>
    <w:lvl w:ilvl="5" w:tplc="1C090005" w:tentative="1">
      <w:start w:val="1"/>
      <w:numFmt w:val="bullet"/>
      <w:lvlText w:val=""/>
      <w:lvlJc w:val="left"/>
      <w:pPr>
        <w:tabs>
          <w:tab w:val="num" w:pos="4320"/>
        </w:tabs>
        <w:ind w:left="4320" w:hanging="360"/>
      </w:pPr>
      <w:rPr>
        <w:rFonts w:ascii="Wingdings" w:hAnsi="Wingdings" w:hint="default"/>
      </w:rPr>
    </w:lvl>
    <w:lvl w:ilvl="6" w:tplc="1C090001" w:tentative="1">
      <w:start w:val="1"/>
      <w:numFmt w:val="bullet"/>
      <w:lvlText w:val=""/>
      <w:lvlJc w:val="left"/>
      <w:pPr>
        <w:tabs>
          <w:tab w:val="num" w:pos="5040"/>
        </w:tabs>
        <w:ind w:left="5040" w:hanging="360"/>
      </w:pPr>
      <w:rPr>
        <w:rFonts w:ascii="Symbol" w:hAnsi="Symbol" w:hint="default"/>
      </w:rPr>
    </w:lvl>
    <w:lvl w:ilvl="7" w:tplc="1C090003" w:tentative="1">
      <w:start w:val="1"/>
      <w:numFmt w:val="bullet"/>
      <w:lvlText w:val="o"/>
      <w:lvlJc w:val="left"/>
      <w:pPr>
        <w:tabs>
          <w:tab w:val="num" w:pos="5760"/>
        </w:tabs>
        <w:ind w:left="5760" w:hanging="360"/>
      </w:pPr>
      <w:rPr>
        <w:rFonts w:ascii="Courier New" w:hAnsi="Courier New" w:cs="Courier New" w:hint="default"/>
      </w:rPr>
    </w:lvl>
    <w:lvl w:ilvl="8" w:tplc="1C090005" w:tentative="1">
      <w:start w:val="1"/>
      <w:numFmt w:val="bullet"/>
      <w:lvlText w:val=""/>
      <w:lvlJc w:val="left"/>
      <w:pPr>
        <w:tabs>
          <w:tab w:val="num" w:pos="6480"/>
        </w:tabs>
        <w:ind w:left="6480" w:hanging="360"/>
      </w:pPr>
      <w:rPr>
        <w:rFonts w:ascii="Wingdings" w:hAnsi="Wingdings" w:hint="default"/>
      </w:rPr>
    </w:lvl>
  </w:abstractNum>
  <w:abstractNum w:abstractNumId="19">
    <w:nsid w:val="69261332"/>
    <w:multiLevelType w:val="multilevel"/>
    <w:tmpl w:val="1DA24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DAA6200"/>
    <w:multiLevelType w:val="hybridMultilevel"/>
    <w:tmpl w:val="CD06FDF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Tahoma"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Tahoma"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Tahoma"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8"/>
  </w:num>
  <w:num w:numId="3">
    <w:abstractNumId w:val="12"/>
  </w:num>
  <w:num w:numId="4">
    <w:abstractNumId w:val="20"/>
  </w:num>
  <w:num w:numId="5">
    <w:abstractNumId w:val="11"/>
  </w:num>
  <w:num w:numId="6">
    <w:abstractNumId w:val="3"/>
  </w:num>
  <w:num w:numId="7">
    <w:abstractNumId w:val="7"/>
  </w:num>
  <w:num w:numId="8">
    <w:abstractNumId w:val="17"/>
  </w:num>
  <w:num w:numId="9">
    <w:abstractNumId w:val="18"/>
  </w:num>
  <w:num w:numId="10">
    <w:abstractNumId w:val="4"/>
  </w:num>
  <w:num w:numId="11">
    <w:abstractNumId w:val="10"/>
  </w:num>
  <w:num w:numId="12">
    <w:abstractNumId w:val="15"/>
  </w:num>
  <w:num w:numId="13">
    <w:abstractNumId w:val="5"/>
  </w:num>
  <w:num w:numId="14">
    <w:abstractNumId w:val="6"/>
  </w:num>
  <w:num w:numId="15">
    <w:abstractNumId w:val="1"/>
  </w:num>
  <w:num w:numId="16">
    <w:abstractNumId w:val="19"/>
  </w:num>
  <w:num w:numId="17">
    <w:abstractNumId w:val="16"/>
  </w:num>
  <w:num w:numId="18">
    <w:abstractNumId w:val="14"/>
  </w:num>
  <w:num w:numId="19">
    <w:abstractNumId w:val="0"/>
  </w:num>
  <w:num w:numId="20">
    <w:abstractNumId w:val="13"/>
  </w:num>
  <w:num w:numId="2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stylePaneFormatFilter w:val="3F01"/>
  <w:doNotTrackMoves/>
  <w:defaultTabStop w:val="720"/>
  <w:displayHorizontalDrawingGridEvery w:val="0"/>
  <w:displayVerticalDrawingGridEvery w:val="0"/>
  <w:doNotUseMarginsForDrawingGridOrigin/>
  <w:noPunctuationKerning/>
  <w:characterSpacingControl w:val="doNotCompress"/>
  <w:hdrShapeDefaults>
    <o:shapedefaults v:ext="edit" spidmax="20482"/>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F5AD9"/>
    <w:rsid w:val="00004A03"/>
    <w:rsid w:val="00004A48"/>
    <w:rsid w:val="00012655"/>
    <w:rsid w:val="000131E3"/>
    <w:rsid w:val="00014893"/>
    <w:rsid w:val="00017AC9"/>
    <w:rsid w:val="00021455"/>
    <w:rsid w:val="0003329F"/>
    <w:rsid w:val="0003358C"/>
    <w:rsid w:val="000422BC"/>
    <w:rsid w:val="000456D8"/>
    <w:rsid w:val="00045766"/>
    <w:rsid w:val="00047628"/>
    <w:rsid w:val="0005054A"/>
    <w:rsid w:val="0006540A"/>
    <w:rsid w:val="00072116"/>
    <w:rsid w:val="00080CCD"/>
    <w:rsid w:val="00081EC6"/>
    <w:rsid w:val="0008346A"/>
    <w:rsid w:val="0008413F"/>
    <w:rsid w:val="00085C63"/>
    <w:rsid w:val="00086ACE"/>
    <w:rsid w:val="000871E3"/>
    <w:rsid w:val="000944A5"/>
    <w:rsid w:val="000A4AB5"/>
    <w:rsid w:val="000B0DB2"/>
    <w:rsid w:val="000C16C6"/>
    <w:rsid w:val="000C771B"/>
    <w:rsid w:val="000D388D"/>
    <w:rsid w:val="000D5B85"/>
    <w:rsid w:val="000E0C8C"/>
    <w:rsid w:val="000E177F"/>
    <w:rsid w:val="000E1EF5"/>
    <w:rsid w:val="000E3380"/>
    <w:rsid w:val="000E42A0"/>
    <w:rsid w:val="00100A22"/>
    <w:rsid w:val="00106F50"/>
    <w:rsid w:val="00111209"/>
    <w:rsid w:val="00111433"/>
    <w:rsid w:val="00114393"/>
    <w:rsid w:val="00116151"/>
    <w:rsid w:val="00122AC3"/>
    <w:rsid w:val="001255D2"/>
    <w:rsid w:val="0012786B"/>
    <w:rsid w:val="00131C35"/>
    <w:rsid w:val="00135957"/>
    <w:rsid w:val="0014747E"/>
    <w:rsid w:val="00147DEE"/>
    <w:rsid w:val="00154CB6"/>
    <w:rsid w:val="00155C42"/>
    <w:rsid w:val="00156A1F"/>
    <w:rsid w:val="001571B3"/>
    <w:rsid w:val="0016076C"/>
    <w:rsid w:val="001614EA"/>
    <w:rsid w:val="00164D72"/>
    <w:rsid w:val="00166CA6"/>
    <w:rsid w:val="0017412A"/>
    <w:rsid w:val="0017483E"/>
    <w:rsid w:val="00174E68"/>
    <w:rsid w:val="00180E1A"/>
    <w:rsid w:val="001813A6"/>
    <w:rsid w:val="001832DB"/>
    <w:rsid w:val="0018500E"/>
    <w:rsid w:val="00187594"/>
    <w:rsid w:val="00191BC2"/>
    <w:rsid w:val="00191F2F"/>
    <w:rsid w:val="00194A21"/>
    <w:rsid w:val="001B417B"/>
    <w:rsid w:val="001B7620"/>
    <w:rsid w:val="001C1261"/>
    <w:rsid w:val="001C3D5B"/>
    <w:rsid w:val="001C53BA"/>
    <w:rsid w:val="001C64A1"/>
    <w:rsid w:val="001E087E"/>
    <w:rsid w:val="001E36A9"/>
    <w:rsid w:val="001E4CEB"/>
    <w:rsid w:val="001F251B"/>
    <w:rsid w:val="001F3CF0"/>
    <w:rsid w:val="0020693A"/>
    <w:rsid w:val="0020733C"/>
    <w:rsid w:val="002074E5"/>
    <w:rsid w:val="00210831"/>
    <w:rsid w:val="0021129A"/>
    <w:rsid w:val="00211EE8"/>
    <w:rsid w:val="00216292"/>
    <w:rsid w:val="00216A5B"/>
    <w:rsid w:val="00224C35"/>
    <w:rsid w:val="00225519"/>
    <w:rsid w:val="00231CB5"/>
    <w:rsid w:val="0023210A"/>
    <w:rsid w:val="00232858"/>
    <w:rsid w:val="002361CB"/>
    <w:rsid w:val="00242F0C"/>
    <w:rsid w:val="00247AF1"/>
    <w:rsid w:val="00255FB0"/>
    <w:rsid w:val="00256053"/>
    <w:rsid w:val="002577AB"/>
    <w:rsid w:val="00264B9D"/>
    <w:rsid w:val="00267928"/>
    <w:rsid w:val="002748DF"/>
    <w:rsid w:val="002758CD"/>
    <w:rsid w:val="00287E62"/>
    <w:rsid w:val="00290855"/>
    <w:rsid w:val="002A0F01"/>
    <w:rsid w:val="002A628F"/>
    <w:rsid w:val="002A7F9E"/>
    <w:rsid w:val="002D4462"/>
    <w:rsid w:val="002D49A8"/>
    <w:rsid w:val="002E5F7D"/>
    <w:rsid w:val="002E6663"/>
    <w:rsid w:val="002E72D5"/>
    <w:rsid w:val="002F0550"/>
    <w:rsid w:val="002F2D28"/>
    <w:rsid w:val="002F6F9F"/>
    <w:rsid w:val="003010ED"/>
    <w:rsid w:val="0030124E"/>
    <w:rsid w:val="0030172B"/>
    <w:rsid w:val="00305E12"/>
    <w:rsid w:val="00310228"/>
    <w:rsid w:val="0032545E"/>
    <w:rsid w:val="0032761A"/>
    <w:rsid w:val="00334E36"/>
    <w:rsid w:val="0033606C"/>
    <w:rsid w:val="003373A4"/>
    <w:rsid w:val="00340646"/>
    <w:rsid w:val="00343151"/>
    <w:rsid w:val="00354D87"/>
    <w:rsid w:val="00357056"/>
    <w:rsid w:val="003630DF"/>
    <w:rsid w:val="0036534E"/>
    <w:rsid w:val="00384E78"/>
    <w:rsid w:val="00384EA8"/>
    <w:rsid w:val="0038565B"/>
    <w:rsid w:val="003868E4"/>
    <w:rsid w:val="0039065D"/>
    <w:rsid w:val="00394534"/>
    <w:rsid w:val="003A3410"/>
    <w:rsid w:val="003A3AA4"/>
    <w:rsid w:val="003B29A1"/>
    <w:rsid w:val="003B37FF"/>
    <w:rsid w:val="003B38E4"/>
    <w:rsid w:val="003B4058"/>
    <w:rsid w:val="003C1B44"/>
    <w:rsid w:val="003C4C13"/>
    <w:rsid w:val="003C5552"/>
    <w:rsid w:val="003D25CD"/>
    <w:rsid w:val="003D5762"/>
    <w:rsid w:val="003D62E4"/>
    <w:rsid w:val="003E1C70"/>
    <w:rsid w:val="003E67B6"/>
    <w:rsid w:val="003F4E8D"/>
    <w:rsid w:val="003F5C54"/>
    <w:rsid w:val="003F5C98"/>
    <w:rsid w:val="00402C23"/>
    <w:rsid w:val="00403045"/>
    <w:rsid w:val="00412C78"/>
    <w:rsid w:val="00422772"/>
    <w:rsid w:val="004227CE"/>
    <w:rsid w:val="004235CF"/>
    <w:rsid w:val="004247C9"/>
    <w:rsid w:val="0042481A"/>
    <w:rsid w:val="00433908"/>
    <w:rsid w:val="00442CD6"/>
    <w:rsid w:val="00444242"/>
    <w:rsid w:val="00456706"/>
    <w:rsid w:val="00457BFD"/>
    <w:rsid w:val="0046025B"/>
    <w:rsid w:val="0046103E"/>
    <w:rsid w:val="00474EDE"/>
    <w:rsid w:val="00475499"/>
    <w:rsid w:val="00497951"/>
    <w:rsid w:val="004A0484"/>
    <w:rsid w:val="004A1F1A"/>
    <w:rsid w:val="004A38D3"/>
    <w:rsid w:val="004A45CF"/>
    <w:rsid w:val="004C0C3D"/>
    <w:rsid w:val="004E037F"/>
    <w:rsid w:val="004E1162"/>
    <w:rsid w:val="004E41CB"/>
    <w:rsid w:val="004F09A1"/>
    <w:rsid w:val="00502124"/>
    <w:rsid w:val="005035D4"/>
    <w:rsid w:val="005103B3"/>
    <w:rsid w:val="0051312E"/>
    <w:rsid w:val="00514C19"/>
    <w:rsid w:val="00532109"/>
    <w:rsid w:val="005358DC"/>
    <w:rsid w:val="00544C04"/>
    <w:rsid w:val="0055147F"/>
    <w:rsid w:val="005546F9"/>
    <w:rsid w:val="0055667E"/>
    <w:rsid w:val="00560F3F"/>
    <w:rsid w:val="0056355B"/>
    <w:rsid w:val="00563EC6"/>
    <w:rsid w:val="00565394"/>
    <w:rsid w:val="005709F9"/>
    <w:rsid w:val="00571A32"/>
    <w:rsid w:val="00571A7D"/>
    <w:rsid w:val="005749A7"/>
    <w:rsid w:val="00574F10"/>
    <w:rsid w:val="005756E4"/>
    <w:rsid w:val="00584652"/>
    <w:rsid w:val="00585621"/>
    <w:rsid w:val="005860FB"/>
    <w:rsid w:val="005947F3"/>
    <w:rsid w:val="00594DFB"/>
    <w:rsid w:val="00597FAB"/>
    <w:rsid w:val="005A28EA"/>
    <w:rsid w:val="005A3365"/>
    <w:rsid w:val="005A583F"/>
    <w:rsid w:val="005A63A4"/>
    <w:rsid w:val="005C2BBA"/>
    <w:rsid w:val="005C3506"/>
    <w:rsid w:val="005C42A2"/>
    <w:rsid w:val="005C7ECF"/>
    <w:rsid w:val="005E19AE"/>
    <w:rsid w:val="005E2484"/>
    <w:rsid w:val="005F4AE3"/>
    <w:rsid w:val="005F50DD"/>
    <w:rsid w:val="00602B97"/>
    <w:rsid w:val="0060525B"/>
    <w:rsid w:val="00613B32"/>
    <w:rsid w:val="006175DB"/>
    <w:rsid w:val="00620D8F"/>
    <w:rsid w:val="0063184A"/>
    <w:rsid w:val="006347D0"/>
    <w:rsid w:val="0064157E"/>
    <w:rsid w:val="00645A29"/>
    <w:rsid w:val="006461A7"/>
    <w:rsid w:val="006462BC"/>
    <w:rsid w:val="00647D06"/>
    <w:rsid w:val="00651525"/>
    <w:rsid w:val="006515D2"/>
    <w:rsid w:val="00653070"/>
    <w:rsid w:val="00661D92"/>
    <w:rsid w:val="00663D41"/>
    <w:rsid w:val="006823F6"/>
    <w:rsid w:val="006833CD"/>
    <w:rsid w:val="006A49E9"/>
    <w:rsid w:val="006A4A39"/>
    <w:rsid w:val="006B12D4"/>
    <w:rsid w:val="006B28E2"/>
    <w:rsid w:val="006B7433"/>
    <w:rsid w:val="006D4BF2"/>
    <w:rsid w:val="006E1E38"/>
    <w:rsid w:val="006E7C1A"/>
    <w:rsid w:val="006F7256"/>
    <w:rsid w:val="006F7DB7"/>
    <w:rsid w:val="00704B7F"/>
    <w:rsid w:val="0071358B"/>
    <w:rsid w:val="00713B0C"/>
    <w:rsid w:val="00714E1A"/>
    <w:rsid w:val="0072142D"/>
    <w:rsid w:val="007237DF"/>
    <w:rsid w:val="00724F46"/>
    <w:rsid w:val="007268DD"/>
    <w:rsid w:val="00726F6F"/>
    <w:rsid w:val="00731AA0"/>
    <w:rsid w:val="00737EDE"/>
    <w:rsid w:val="007423F2"/>
    <w:rsid w:val="0074261A"/>
    <w:rsid w:val="00742661"/>
    <w:rsid w:val="0074676C"/>
    <w:rsid w:val="007473C9"/>
    <w:rsid w:val="00755440"/>
    <w:rsid w:val="00761F9B"/>
    <w:rsid w:val="00762D01"/>
    <w:rsid w:val="007702C2"/>
    <w:rsid w:val="00770E1D"/>
    <w:rsid w:val="007774E0"/>
    <w:rsid w:val="00784638"/>
    <w:rsid w:val="007900CE"/>
    <w:rsid w:val="00795E59"/>
    <w:rsid w:val="00796068"/>
    <w:rsid w:val="007B07FA"/>
    <w:rsid w:val="007B2111"/>
    <w:rsid w:val="007B5750"/>
    <w:rsid w:val="007C34FB"/>
    <w:rsid w:val="007C410B"/>
    <w:rsid w:val="007C6483"/>
    <w:rsid w:val="007D24ED"/>
    <w:rsid w:val="007F2AA9"/>
    <w:rsid w:val="00805DAF"/>
    <w:rsid w:val="00820391"/>
    <w:rsid w:val="008212C3"/>
    <w:rsid w:val="00821B73"/>
    <w:rsid w:val="0082674D"/>
    <w:rsid w:val="008270F6"/>
    <w:rsid w:val="00831363"/>
    <w:rsid w:val="00835377"/>
    <w:rsid w:val="0084179A"/>
    <w:rsid w:val="008428B1"/>
    <w:rsid w:val="008452F6"/>
    <w:rsid w:val="008545B1"/>
    <w:rsid w:val="00861D42"/>
    <w:rsid w:val="00863FEB"/>
    <w:rsid w:val="00864822"/>
    <w:rsid w:val="00871255"/>
    <w:rsid w:val="008746BF"/>
    <w:rsid w:val="00880E54"/>
    <w:rsid w:val="008819E6"/>
    <w:rsid w:val="00882717"/>
    <w:rsid w:val="00884154"/>
    <w:rsid w:val="00886024"/>
    <w:rsid w:val="00895316"/>
    <w:rsid w:val="008B0559"/>
    <w:rsid w:val="008B7A23"/>
    <w:rsid w:val="008C69C1"/>
    <w:rsid w:val="008D16F0"/>
    <w:rsid w:val="008D1C81"/>
    <w:rsid w:val="008D1EC2"/>
    <w:rsid w:val="008D4E5E"/>
    <w:rsid w:val="008D76B2"/>
    <w:rsid w:val="008E23E7"/>
    <w:rsid w:val="008E2D9A"/>
    <w:rsid w:val="00907CEA"/>
    <w:rsid w:val="009149FE"/>
    <w:rsid w:val="00915B7C"/>
    <w:rsid w:val="00915D0F"/>
    <w:rsid w:val="009233D2"/>
    <w:rsid w:val="00930907"/>
    <w:rsid w:val="00933ED1"/>
    <w:rsid w:val="00936547"/>
    <w:rsid w:val="00941BF6"/>
    <w:rsid w:val="00946C1B"/>
    <w:rsid w:val="0096428E"/>
    <w:rsid w:val="00966397"/>
    <w:rsid w:val="00967972"/>
    <w:rsid w:val="009703E2"/>
    <w:rsid w:val="009736DB"/>
    <w:rsid w:val="0097679A"/>
    <w:rsid w:val="0098114F"/>
    <w:rsid w:val="00985E79"/>
    <w:rsid w:val="00993560"/>
    <w:rsid w:val="009A1B68"/>
    <w:rsid w:val="009A2A97"/>
    <w:rsid w:val="009B041E"/>
    <w:rsid w:val="009B354E"/>
    <w:rsid w:val="009B4F71"/>
    <w:rsid w:val="009C413A"/>
    <w:rsid w:val="009D0BCC"/>
    <w:rsid w:val="009D19DE"/>
    <w:rsid w:val="009D3DBD"/>
    <w:rsid w:val="009D419E"/>
    <w:rsid w:val="009F173F"/>
    <w:rsid w:val="009F40E8"/>
    <w:rsid w:val="009F6553"/>
    <w:rsid w:val="00A00630"/>
    <w:rsid w:val="00A05597"/>
    <w:rsid w:val="00A13A4D"/>
    <w:rsid w:val="00A14B36"/>
    <w:rsid w:val="00A169A9"/>
    <w:rsid w:val="00A23261"/>
    <w:rsid w:val="00A25BF1"/>
    <w:rsid w:val="00A2667D"/>
    <w:rsid w:val="00A311F0"/>
    <w:rsid w:val="00A32526"/>
    <w:rsid w:val="00A32CD6"/>
    <w:rsid w:val="00A35096"/>
    <w:rsid w:val="00A40BCB"/>
    <w:rsid w:val="00A43EA3"/>
    <w:rsid w:val="00A46602"/>
    <w:rsid w:val="00A5128F"/>
    <w:rsid w:val="00A561AB"/>
    <w:rsid w:val="00A5719D"/>
    <w:rsid w:val="00A666CD"/>
    <w:rsid w:val="00A70CBF"/>
    <w:rsid w:val="00A76E28"/>
    <w:rsid w:val="00A80B44"/>
    <w:rsid w:val="00A83708"/>
    <w:rsid w:val="00A87176"/>
    <w:rsid w:val="00A9506D"/>
    <w:rsid w:val="00AA021A"/>
    <w:rsid w:val="00AA1093"/>
    <w:rsid w:val="00AA12D6"/>
    <w:rsid w:val="00AB22B6"/>
    <w:rsid w:val="00AB6C51"/>
    <w:rsid w:val="00AC0012"/>
    <w:rsid w:val="00AC2397"/>
    <w:rsid w:val="00AC401D"/>
    <w:rsid w:val="00AD10B5"/>
    <w:rsid w:val="00AD11DF"/>
    <w:rsid w:val="00AD3276"/>
    <w:rsid w:val="00AE20AC"/>
    <w:rsid w:val="00AE47A0"/>
    <w:rsid w:val="00AE53F1"/>
    <w:rsid w:val="00AE6542"/>
    <w:rsid w:val="00AF0405"/>
    <w:rsid w:val="00AF3178"/>
    <w:rsid w:val="00AF65E8"/>
    <w:rsid w:val="00AF74A0"/>
    <w:rsid w:val="00B00BEA"/>
    <w:rsid w:val="00B0180B"/>
    <w:rsid w:val="00B0511E"/>
    <w:rsid w:val="00B052DA"/>
    <w:rsid w:val="00B071E1"/>
    <w:rsid w:val="00B11C19"/>
    <w:rsid w:val="00B1282B"/>
    <w:rsid w:val="00B20BDB"/>
    <w:rsid w:val="00B255D2"/>
    <w:rsid w:val="00B33563"/>
    <w:rsid w:val="00B42951"/>
    <w:rsid w:val="00B44184"/>
    <w:rsid w:val="00B47DEC"/>
    <w:rsid w:val="00B47F99"/>
    <w:rsid w:val="00B47FA4"/>
    <w:rsid w:val="00B524A3"/>
    <w:rsid w:val="00B609BC"/>
    <w:rsid w:val="00B62D1C"/>
    <w:rsid w:val="00B6371F"/>
    <w:rsid w:val="00B6665B"/>
    <w:rsid w:val="00B66CDF"/>
    <w:rsid w:val="00B739C2"/>
    <w:rsid w:val="00B761CB"/>
    <w:rsid w:val="00B8032A"/>
    <w:rsid w:val="00B80539"/>
    <w:rsid w:val="00B84BAA"/>
    <w:rsid w:val="00B8608A"/>
    <w:rsid w:val="00B90EEC"/>
    <w:rsid w:val="00BA14C3"/>
    <w:rsid w:val="00BB2493"/>
    <w:rsid w:val="00BB27A2"/>
    <w:rsid w:val="00BB3B13"/>
    <w:rsid w:val="00BC06BA"/>
    <w:rsid w:val="00BC2110"/>
    <w:rsid w:val="00BC49E7"/>
    <w:rsid w:val="00BC64DB"/>
    <w:rsid w:val="00BD095C"/>
    <w:rsid w:val="00BD12D1"/>
    <w:rsid w:val="00BD2171"/>
    <w:rsid w:val="00BE1254"/>
    <w:rsid w:val="00BE1317"/>
    <w:rsid w:val="00BE2A79"/>
    <w:rsid w:val="00BE2FE9"/>
    <w:rsid w:val="00BE49BB"/>
    <w:rsid w:val="00BF5AD9"/>
    <w:rsid w:val="00BF6776"/>
    <w:rsid w:val="00C007C7"/>
    <w:rsid w:val="00C01138"/>
    <w:rsid w:val="00C02760"/>
    <w:rsid w:val="00C0443C"/>
    <w:rsid w:val="00C117ED"/>
    <w:rsid w:val="00C12EFF"/>
    <w:rsid w:val="00C170FE"/>
    <w:rsid w:val="00C17311"/>
    <w:rsid w:val="00C22C40"/>
    <w:rsid w:val="00C261F6"/>
    <w:rsid w:val="00C27D05"/>
    <w:rsid w:val="00C30A01"/>
    <w:rsid w:val="00C36275"/>
    <w:rsid w:val="00C37F47"/>
    <w:rsid w:val="00C42E6C"/>
    <w:rsid w:val="00C462BE"/>
    <w:rsid w:val="00C46A0A"/>
    <w:rsid w:val="00C6500A"/>
    <w:rsid w:val="00C66E3D"/>
    <w:rsid w:val="00C709F1"/>
    <w:rsid w:val="00C71F5E"/>
    <w:rsid w:val="00C73B2F"/>
    <w:rsid w:val="00C809D2"/>
    <w:rsid w:val="00C82F78"/>
    <w:rsid w:val="00C87C79"/>
    <w:rsid w:val="00C97803"/>
    <w:rsid w:val="00CA291E"/>
    <w:rsid w:val="00CA39CC"/>
    <w:rsid w:val="00CA44EE"/>
    <w:rsid w:val="00CA474B"/>
    <w:rsid w:val="00CA6777"/>
    <w:rsid w:val="00CB007B"/>
    <w:rsid w:val="00CB22E6"/>
    <w:rsid w:val="00CC2B76"/>
    <w:rsid w:val="00CC3BF2"/>
    <w:rsid w:val="00CD0AE4"/>
    <w:rsid w:val="00CE58CD"/>
    <w:rsid w:val="00CF1FC5"/>
    <w:rsid w:val="00CF6EA0"/>
    <w:rsid w:val="00D0083C"/>
    <w:rsid w:val="00D00FF4"/>
    <w:rsid w:val="00D02AFA"/>
    <w:rsid w:val="00D10B89"/>
    <w:rsid w:val="00D128D3"/>
    <w:rsid w:val="00D14845"/>
    <w:rsid w:val="00D17AD0"/>
    <w:rsid w:val="00D2400A"/>
    <w:rsid w:val="00D45A38"/>
    <w:rsid w:val="00D46A4A"/>
    <w:rsid w:val="00D507AB"/>
    <w:rsid w:val="00D51F0E"/>
    <w:rsid w:val="00D5396F"/>
    <w:rsid w:val="00D66A40"/>
    <w:rsid w:val="00D72E41"/>
    <w:rsid w:val="00D73927"/>
    <w:rsid w:val="00D85EBB"/>
    <w:rsid w:val="00D9083A"/>
    <w:rsid w:val="00D910CB"/>
    <w:rsid w:val="00D96463"/>
    <w:rsid w:val="00DA0429"/>
    <w:rsid w:val="00DA680C"/>
    <w:rsid w:val="00DA6F08"/>
    <w:rsid w:val="00DA739D"/>
    <w:rsid w:val="00DB0ED2"/>
    <w:rsid w:val="00DB18A9"/>
    <w:rsid w:val="00DB63C9"/>
    <w:rsid w:val="00DB68E4"/>
    <w:rsid w:val="00DC431B"/>
    <w:rsid w:val="00DC57BC"/>
    <w:rsid w:val="00DC5B43"/>
    <w:rsid w:val="00DC723F"/>
    <w:rsid w:val="00DD2275"/>
    <w:rsid w:val="00DE4D22"/>
    <w:rsid w:val="00DF203E"/>
    <w:rsid w:val="00DF33F1"/>
    <w:rsid w:val="00DF45DB"/>
    <w:rsid w:val="00E046CD"/>
    <w:rsid w:val="00E0473D"/>
    <w:rsid w:val="00E04D96"/>
    <w:rsid w:val="00E05E67"/>
    <w:rsid w:val="00E05F3A"/>
    <w:rsid w:val="00E142BA"/>
    <w:rsid w:val="00E16F97"/>
    <w:rsid w:val="00E24A36"/>
    <w:rsid w:val="00E2557B"/>
    <w:rsid w:val="00E31152"/>
    <w:rsid w:val="00E317C5"/>
    <w:rsid w:val="00E322DD"/>
    <w:rsid w:val="00E33790"/>
    <w:rsid w:val="00E376EA"/>
    <w:rsid w:val="00E46E78"/>
    <w:rsid w:val="00E474E5"/>
    <w:rsid w:val="00E507A5"/>
    <w:rsid w:val="00E62444"/>
    <w:rsid w:val="00E6382B"/>
    <w:rsid w:val="00E70C3B"/>
    <w:rsid w:val="00E722AB"/>
    <w:rsid w:val="00E740F7"/>
    <w:rsid w:val="00E750D8"/>
    <w:rsid w:val="00E7571D"/>
    <w:rsid w:val="00E75C5E"/>
    <w:rsid w:val="00E90A55"/>
    <w:rsid w:val="00E94D9A"/>
    <w:rsid w:val="00EA4EBD"/>
    <w:rsid w:val="00EB0CDF"/>
    <w:rsid w:val="00EB4BCC"/>
    <w:rsid w:val="00EC1E2B"/>
    <w:rsid w:val="00ED120D"/>
    <w:rsid w:val="00ED2EF5"/>
    <w:rsid w:val="00ED3825"/>
    <w:rsid w:val="00EE3E0A"/>
    <w:rsid w:val="00EE434A"/>
    <w:rsid w:val="00EE54C2"/>
    <w:rsid w:val="00EE6807"/>
    <w:rsid w:val="00F00009"/>
    <w:rsid w:val="00F02A8E"/>
    <w:rsid w:val="00F04418"/>
    <w:rsid w:val="00F1097A"/>
    <w:rsid w:val="00F13C3B"/>
    <w:rsid w:val="00F151DA"/>
    <w:rsid w:val="00F15D82"/>
    <w:rsid w:val="00F20897"/>
    <w:rsid w:val="00F2118A"/>
    <w:rsid w:val="00F27205"/>
    <w:rsid w:val="00F32935"/>
    <w:rsid w:val="00F340D2"/>
    <w:rsid w:val="00F368CF"/>
    <w:rsid w:val="00F4223C"/>
    <w:rsid w:val="00F5333E"/>
    <w:rsid w:val="00F568A5"/>
    <w:rsid w:val="00F57F14"/>
    <w:rsid w:val="00F604DD"/>
    <w:rsid w:val="00F62173"/>
    <w:rsid w:val="00F76285"/>
    <w:rsid w:val="00F829F6"/>
    <w:rsid w:val="00F82B11"/>
    <w:rsid w:val="00F830AB"/>
    <w:rsid w:val="00F9060A"/>
    <w:rsid w:val="00FA66D6"/>
    <w:rsid w:val="00FB05C4"/>
    <w:rsid w:val="00FB3713"/>
    <w:rsid w:val="00FB6325"/>
    <w:rsid w:val="00FB669D"/>
    <w:rsid w:val="00FB6A96"/>
    <w:rsid w:val="00FC1D23"/>
    <w:rsid w:val="00FC22AE"/>
    <w:rsid w:val="00FC5D62"/>
    <w:rsid w:val="00FC73F2"/>
    <w:rsid w:val="00FD2055"/>
    <w:rsid w:val="00FD2D16"/>
    <w:rsid w:val="00FD3E73"/>
    <w:rsid w:val="00FD52E5"/>
    <w:rsid w:val="00FE1101"/>
    <w:rsid w:val="00FE2EE5"/>
    <w:rsid w:val="00FE60B5"/>
    <w:rsid w:val="00FF155D"/>
    <w:rsid w:val="00FF3E87"/>
  </w:rsids>
  <m:mathPr>
    <m:mathFont m:val="Cambria Math"/>
    <m:brkBin m:val="before"/>
    <m:brkBinSub m:val="--"/>
    <m:smallFrac m:val="off"/>
    <m:dispDef/>
    <m:lMargin m:val="0"/>
    <m:rMargin m:val="0"/>
    <m:defJc m:val="centerGroup"/>
    <m:wrapIndent m:val="1440"/>
    <m:intLim m:val="subSup"/>
    <m:naryLim m:val="undOvr"/>
  </m:mathPr>
  <w:uiCompat97To2003/>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address"/>
  <w:smartTagType w:namespaceuri="urn:schemas-microsoft-com:office:smarttags" w:name="Street"/>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w:eastAsia="Times" w:hAnsi="Courier" w:cs="Times New Roman"/>
        <w:lang w:val="en-ZA" w:eastAsia="en-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1EC2"/>
    <w:rPr>
      <w:rFonts w:ascii="Times" w:hAnsi="Times"/>
      <w:sz w:val="24"/>
      <w:lang w:val="en-US" w:eastAsia="en-US"/>
    </w:rPr>
  </w:style>
  <w:style w:type="paragraph" w:styleId="Heading1">
    <w:name w:val="heading 1"/>
    <w:basedOn w:val="Normal"/>
    <w:next w:val="Normal"/>
    <w:qFormat/>
    <w:rsid w:val="00194A21"/>
    <w:pPr>
      <w:keepNext/>
      <w:outlineLvl w:val="0"/>
    </w:pPr>
    <w:rPr>
      <w:rFonts w:ascii="Book Antiqua Bold Italic" w:hAnsi="Book Antiqua Bold Italic"/>
      <w:b/>
      <w:color w:val="00C578"/>
      <w:sz w:val="16"/>
    </w:rPr>
  </w:style>
  <w:style w:type="paragraph" w:styleId="Heading2">
    <w:name w:val="heading 2"/>
    <w:basedOn w:val="Normal"/>
    <w:next w:val="Normal"/>
    <w:qFormat/>
    <w:rsid w:val="00194A21"/>
    <w:pPr>
      <w:keepNext/>
      <w:outlineLvl w:val="1"/>
    </w:pPr>
    <w:rPr>
      <w:rFonts w:ascii="Arial" w:eastAsia="Times New Roman" w:hAnsi="Arial"/>
      <w:b/>
      <w:sz w:val="19"/>
      <w:u w:val="single"/>
    </w:rPr>
  </w:style>
  <w:style w:type="paragraph" w:styleId="Heading3">
    <w:name w:val="heading 3"/>
    <w:basedOn w:val="Normal"/>
    <w:next w:val="Normal"/>
    <w:qFormat/>
    <w:rsid w:val="00194A21"/>
    <w:pPr>
      <w:keepNext/>
      <w:outlineLvl w:val="2"/>
    </w:pPr>
    <w:rPr>
      <w:rFonts w:ascii="Arial" w:eastAsia="Times New Roman" w:hAnsi="Arial"/>
      <w:sz w:val="19"/>
      <w:u w:val="single"/>
    </w:rPr>
  </w:style>
  <w:style w:type="paragraph" w:styleId="Heading4">
    <w:name w:val="heading 4"/>
    <w:basedOn w:val="Normal"/>
    <w:next w:val="Normal"/>
    <w:qFormat/>
    <w:rsid w:val="00194A21"/>
    <w:pPr>
      <w:keepNext/>
      <w:outlineLvl w:val="3"/>
    </w:pPr>
    <w:rPr>
      <w:rFonts w:ascii="Arial" w:eastAsia="Times New Roman" w:hAnsi="Arial"/>
      <w:b/>
      <w:sz w:val="20"/>
    </w:rPr>
  </w:style>
  <w:style w:type="paragraph" w:styleId="Heading5">
    <w:name w:val="heading 5"/>
    <w:basedOn w:val="Normal"/>
    <w:next w:val="Normal"/>
    <w:qFormat/>
    <w:rsid w:val="00194A21"/>
    <w:pPr>
      <w:keepNext/>
      <w:ind w:left="6480" w:firstLine="720"/>
      <w:outlineLvl w:val="4"/>
    </w:pPr>
    <w:rPr>
      <w:rFonts w:ascii="Arial" w:eastAsia="Times New Roman"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94A21"/>
    <w:pPr>
      <w:spacing w:line="180" w:lineRule="exact"/>
    </w:pPr>
    <w:rPr>
      <w:rFonts w:ascii="ITC Legacy Sans Book" w:hAnsi="ITC Legacy Sans Book"/>
      <w:spacing w:val="3"/>
      <w:sz w:val="16"/>
    </w:rPr>
  </w:style>
  <w:style w:type="character" w:styleId="Hyperlink">
    <w:name w:val="Hyperlink"/>
    <w:basedOn w:val="DefaultParagraphFont"/>
    <w:rsid w:val="00194A21"/>
    <w:rPr>
      <w:color w:val="0000FF"/>
      <w:u w:val="single"/>
    </w:rPr>
  </w:style>
  <w:style w:type="paragraph" w:styleId="BodyText2">
    <w:name w:val="Body Text 2"/>
    <w:basedOn w:val="Normal"/>
    <w:rsid w:val="00194A21"/>
    <w:pPr>
      <w:spacing w:line="150" w:lineRule="exact"/>
    </w:pPr>
    <w:rPr>
      <w:rFonts w:ascii="ITC Legacy Sans Book" w:hAnsi="ITC Legacy Sans Book"/>
      <w:spacing w:val="3"/>
      <w:sz w:val="13"/>
    </w:rPr>
  </w:style>
  <w:style w:type="character" w:styleId="FollowedHyperlink">
    <w:name w:val="FollowedHyperlink"/>
    <w:basedOn w:val="DefaultParagraphFont"/>
    <w:rsid w:val="00194A21"/>
    <w:rPr>
      <w:color w:val="800080"/>
      <w:u w:val="single"/>
    </w:rPr>
  </w:style>
  <w:style w:type="paragraph" w:styleId="Header">
    <w:name w:val="header"/>
    <w:basedOn w:val="Normal"/>
    <w:rsid w:val="00194A21"/>
    <w:pPr>
      <w:tabs>
        <w:tab w:val="center" w:pos="4320"/>
        <w:tab w:val="right" w:pos="8640"/>
      </w:tabs>
    </w:pPr>
  </w:style>
  <w:style w:type="paragraph" w:styleId="Footer">
    <w:name w:val="footer"/>
    <w:basedOn w:val="Normal"/>
    <w:rsid w:val="00194A21"/>
    <w:pPr>
      <w:tabs>
        <w:tab w:val="center" w:pos="4320"/>
        <w:tab w:val="right" w:pos="8640"/>
      </w:tabs>
    </w:pPr>
  </w:style>
  <w:style w:type="paragraph" w:styleId="BodyText3">
    <w:name w:val="Body Text 3"/>
    <w:basedOn w:val="Normal"/>
    <w:rsid w:val="00194A21"/>
    <w:pPr>
      <w:jc w:val="both"/>
    </w:pPr>
    <w:rPr>
      <w:rFonts w:ascii="Arial" w:eastAsia="Times New Roman" w:hAnsi="Arial"/>
      <w:sz w:val="18"/>
    </w:rPr>
  </w:style>
  <w:style w:type="character" w:styleId="Strong">
    <w:name w:val="Strong"/>
    <w:basedOn w:val="DefaultParagraphFont"/>
    <w:uiPriority w:val="22"/>
    <w:qFormat/>
    <w:rsid w:val="00194A21"/>
    <w:rPr>
      <w:b/>
    </w:rPr>
  </w:style>
  <w:style w:type="paragraph" w:styleId="BalloonText">
    <w:name w:val="Balloon Text"/>
    <w:basedOn w:val="Normal"/>
    <w:semiHidden/>
    <w:rsid w:val="0036534E"/>
    <w:rPr>
      <w:rFonts w:ascii="Tahoma" w:hAnsi="Tahoma" w:cs="Tahoma"/>
      <w:sz w:val="16"/>
      <w:szCs w:val="16"/>
    </w:rPr>
  </w:style>
  <w:style w:type="paragraph" w:styleId="DocumentMap">
    <w:name w:val="Document Map"/>
    <w:basedOn w:val="Normal"/>
    <w:semiHidden/>
    <w:rsid w:val="00A87176"/>
    <w:pPr>
      <w:shd w:val="clear" w:color="auto" w:fill="000080"/>
    </w:pPr>
    <w:rPr>
      <w:rFonts w:ascii="Tahoma" w:hAnsi="Tahoma" w:cs="Tahoma"/>
      <w:sz w:val="20"/>
    </w:rPr>
  </w:style>
  <w:style w:type="character" w:styleId="Emphasis">
    <w:name w:val="Emphasis"/>
    <w:basedOn w:val="DefaultParagraphFont"/>
    <w:uiPriority w:val="20"/>
    <w:qFormat/>
    <w:rsid w:val="007423F2"/>
    <w:rPr>
      <w:i/>
      <w:iCs/>
    </w:rPr>
  </w:style>
  <w:style w:type="paragraph" w:styleId="NormalWeb">
    <w:name w:val="Normal (Web)"/>
    <w:basedOn w:val="Normal"/>
    <w:uiPriority w:val="99"/>
    <w:semiHidden/>
    <w:unhideWhenUsed/>
    <w:rsid w:val="00FD2055"/>
    <w:pPr>
      <w:spacing w:before="100" w:beforeAutospacing="1" w:after="100" w:afterAutospacing="1"/>
    </w:pPr>
    <w:rPr>
      <w:rFonts w:ascii="Times New Roman" w:eastAsia="Times New Roman" w:hAnsi="Times New Roman"/>
      <w:szCs w:val="24"/>
    </w:rPr>
  </w:style>
  <w:style w:type="paragraph" w:customStyle="1" w:styleId="Default">
    <w:name w:val="Default"/>
    <w:rsid w:val="00761F9B"/>
    <w:pPr>
      <w:widowControl w:val="0"/>
      <w:autoSpaceDE w:val="0"/>
      <w:autoSpaceDN w:val="0"/>
      <w:adjustRightInd w:val="0"/>
    </w:pPr>
    <w:rPr>
      <w:rFonts w:ascii="LDNGK F+ Advhlv" w:eastAsia="Times New Roman" w:hAnsi="LDNGK F+ Advhlv" w:cs="LDNGK F+ Advhlv"/>
      <w:color w:val="000000"/>
      <w:sz w:val="24"/>
      <w:szCs w:val="24"/>
      <w:lang w:val="en-US" w:eastAsia="en-US"/>
    </w:rPr>
  </w:style>
  <w:style w:type="paragraph" w:customStyle="1" w:styleId="CM4">
    <w:name w:val="CM4"/>
    <w:basedOn w:val="Default"/>
    <w:next w:val="Default"/>
    <w:uiPriority w:val="99"/>
    <w:rsid w:val="00761F9B"/>
    <w:rPr>
      <w:rFonts w:cs="Times New Roman"/>
      <w:color w:val="auto"/>
    </w:rPr>
  </w:style>
  <w:style w:type="paragraph" w:customStyle="1" w:styleId="CM1">
    <w:name w:val="CM1"/>
    <w:basedOn w:val="Default"/>
    <w:next w:val="Default"/>
    <w:uiPriority w:val="99"/>
    <w:rsid w:val="00761F9B"/>
    <w:pPr>
      <w:spacing w:line="240" w:lineRule="atLeast"/>
    </w:pPr>
    <w:rPr>
      <w:rFonts w:cs="Times New Roman"/>
      <w:color w:val="auto"/>
    </w:rPr>
  </w:style>
  <w:style w:type="paragraph" w:customStyle="1" w:styleId="CM5">
    <w:name w:val="CM5"/>
    <w:basedOn w:val="Default"/>
    <w:next w:val="Default"/>
    <w:uiPriority w:val="99"/>
    <w:rsid w:val="00761F9B"/>
    <w:rPr>
      <w:rFonts w:cs="Times New Roman"/>
      <w:color w:val="auto"/>
    </w:rPr>
  </w:style>
  <w:style w:type="paragraph" w:customStyle="1" w:styleId="CM6">
    <w:name w:val="CM6"/>
    <w:basedOn w:val="Default"/>
    <w:next w:val="Default"/>
    <w:uiPriority w:val="99"/>
    <w:rsid w:val="00761F9B"/>
    <w:rPr>
      <w:rFonts w:cs="Times New Roman"/>
      <w:color w:val="auto"/>
    </w:rPr>
  </w:style>
  <w:style w:type="paragraph" w:customStyle="1" w:styleId="CM7">
    <w:name w:val="CM7"/>
    <w:basedOn w:val="Default"/>
    <w:next w:val="Default"/>
    <w:uiPriority w:val="99"/>
    <w:rsid w:val="00456706"/>
    <w:rPr>
      <w:rFonts w:ascii="ECPHB C+ Advhlv" w:hAnsi="ECPHB C+ Advhlv" w:cs="Times New Roman"/>
      <w:color w:val="auto"/>
    </w:rPr>
  </w:style>
  <w:style w:type="paragraph" w:customStyle="1" w:styleId="CM8">
    <w:name w:val="CM8"/>
    <w:basedOn w:val="Default"/>
    <w:next w:val="Default"/>
    <w:uiPriority w:val="99"/>
    <w:rsid w:val="00456706"/>
    <w:rPr>
      <w:rFonts w:ascii="ECPHB C+ Advhlv" w:hAnsi="ECPHB C+ Advhlv" w:cs="Times New Roman"/>
      <w:color w:val="auto"/>
    </w:rPr>
  </w:style>
  <w:style w:type="paragraph" w:customStyle="1" w:styleId="CM2">
    <w:name w:val="CM2"/>
    <w:basedOn w:val="Default"/>
    <w:next w:val="Default"/>
    <w:uiPriority w:val="99"/>
    <w:rsid w:val="00456706"/>
    <w:pPr>
      <w:spacing w:line="243" w:lineRule="atLeast"/>
    </w:pPr>
    <w:rPr>
      <w:rFonts w:ascii="ECPHB C+ Advhlv" w:hAnsi="ECPHB C+ Advhlv" w:cs="Times New Roman"/>
      <w:color w:val="auto"/>
    </w:rPr>
  </w:style>
  <w:style w:type="paragraph" w:customStyle="1" w:styleId="CM9">
    <w:name w:val="CM9"/>
    <w:basedOn w:val="Default"/>
    <w:next w:val="Default"/>
    <w:uiPriority w:val="99"/>
    <w:rsid w:val="00456706"/>
    <w:rPr>
      <w:rFonts w:ascii="ECPHB C+ Advhlv" w:hAnsi="ECPHB C+ Advhlv" w:cs="Times New Roman"/>
      <w:color w:val="auto"/>
    </w:rPr>
  </w:style>
  <w:style w:type="paragraph" w:customStyle="1" w:styleId="Pa20">
    <w:name w:val="Pa20"/>
    <w:basedOn w:val="Default"/>
    <w:next w:val="Default"/>
    <w:uiPriority w:val="99"/>
    <w:rsid w:val="002A628F"/>
    <w:pPr>
      <w:widowControl/>
      <w:spacing w:line="221" w:lineRule="atLeast"/>
    </w:pPr>
    <w:rPr>
      <w:rFonts w:ascii="Helvetica LT Std" w:eastAsia="Calibri" w:hAnsi="Helvetica LT Std" w:cs="Times New Roman"/>
      <w:color w:val="auto"/>
    </w:rPr>
  </w:style>
  <w:style w:type="paragraph" w:customStyle="1" w:styleId="Pa21">
    <w:name w:val="Pa21"/>
    <w:basedOn w:val="Default"/>
    <w:next w:val="Default"/>
    <w:uiPriority w:val="99"/>
    <w:rsid w:val="002A628F"/>
    <w:pPr>
      <w:widowControl/>
      <w:spacing w:line="211" w:lineRule="atLeast"/>
    </w:pPr>
    <w:rPr>
      <w:rFonts w:ascii="Helvetica LT Std" w:eastAsia="Calibri" w:hAnsi="Helvetica LT Std" w:cs="Times New Roman"/>
      <w:color w:val="auto"/>
    </w:rPr>
  </w:style>
  <w:style w:type="paragraph" w:customStyle="1" w:styleId="Pa8">
    <w:name w:val="Pa8"/>
    <w:basedOn w:val="Default"/>
    <w:next w:val="Default"/>
    <w:uiPriority w:val="99"/>
    <w:rsid w:val="002A628F"/>
    <w:pPr>
      <w:widowControl/>
      <w:spacing w:line="221" w:lineRule="atLeast"/>
    </w:pPr>
    <w:rPr>
      <w:rFonts w:ascii="Helvetica LT Std" w:eastAsia="Calibri" w:hAnsi="Helvetica LT Std" w:cs="Times New Roman"/>
      <w:color w:val="auto"/>
    </w:rPr>
  </w:style>
  <w:style w:type="character" w:customStyle="1" w:styleId="A5">
    <w:name w:val="A5"/>
    <w:uiPriority w:val="99"/>
    <w:rsid w:val="002A628F"/>
    <w:rPr>
      <w:rFonts w:ascii="Bembo Std" w:hAnsi="Bembo Std" w:cs="Bembo Std"/>
      <w:color w:val="221E1F"/>
      <w:sz w:val="21"/>
      <w:szCs w:val="21"/>
    </w:rPr>
  </w:style>
  <w:style w:type="paragraph" w:customStyle="1" w:styleId="Pa22">
    <w:name w:val="Pa22"/>
    <w:basedOn w:val="Default"/>
    <w:next w:val="Default"/>
    <w:uiPriority w:val="99"/>
    <w:rsid w:val="002A628F"/>
    <w:pPr>
      <w:widowControl/>
      <w:spacing w:line="211" w:lineRule="atLeast"/>
    </w:pPr>
    <w:rPr>
      <w:rFonts w:ascii="Helvetica LT Std" w:eastAsia="Calibri" w:hAnsi="Helvetica LT Std" w:cs="Times New Roman"/>
      <w:color w:val="auto"/>
    </w:rPr>
  </w:style>
  <w:style w:type="character" w:customStyle="1" w:styleId="A10">
    <w:name w:val="A10"/>
    <w:uiPriority w:val="99"/>
    <w:rsid w:val="002A628F"/>
    <w:rPr>
      <w:rFonts w:ascii="Bembo Std" w:hAnsi="Bembo Std" w:cs="Bembo Std"/>
      <w:b/>
      <w:bCs/>
      <w:color w:val="221E1F"/>
      <w:sz w:val="21"/>
      <w:szCs w:val="21"/>
      <w:u w:val="single"/>
    </w:rPr>
  </w:style>
  <w:style w:type="paragraph" w:customStyle="1" w:styleId="LRHeadLevel1">
    <w:name w:val="LR_HeadLevel1"/>
    <w:basedOn w:val="Normal"/>
    <w:uiPriority w:val="99"/>
    <w:rsid w:val="001255D2"/>
    <w:pPr>
      <w:widowControl w:val="0"/>
      <w:autoSpaceDE w:val="0"/>
      <w:autoSpaceDN w:val="0"/>
      <w:adjustRightInd w:val="0"/>
      <w:spacing w:before="227" w:after="113" w:line="260" w:lineRule="atLeast"/>
      <w:textAlignment w:val="center"/>
    </w:pPr>
    <w:rPr>
      <w:rFonts w:ascii="HelveticaLTStd-Roman" w:eastAsia="Times New Roman" w:hAnsi="HelveticaLTStd-Roman" w:cs="HelveticaLTStd-Roman"/>
      <w:color w:val="000000"/>
      <w:sz w:val="22"/>
      <w:szCs w:val="22"/>
    </w:rPr>
  </w:style>
  <w:style w:type="paragraph" w:customStyle="1" w:styleId="LRParaFL">
    <w:name w:val="LR_Para_FL"/>
    <w:basedOn w:val="Normal"/>
    <w:next w:val="Normal"/>
    <w:uiPriority w:val="99"/>
    <w:rsid w:val="001255D2"/>
    <w:pPr>
      <w:keepNext/>
      <w:keepLines/>
      <w:widowControl w:val="0"/>
      <w:tabs>
        <w:tab w:val="left" w:pos="340"/>
      </w:tabs>
      <w:suppressAutoHyphens/>
      <w:autoSpaceDE w:val="0"/>
      <w:autoSpaceDN w:val="0"/>
      <w:adjustRightInd w:val="0"/>
      <w:spacing w:line="240" w:lineRule="atLeast"/>
      <w:jc w:val="both"/>
      <w:textAlignment w:val="center"/>
    </w:pPr>
    <w:rPr>
      <w:rFonts w:ascii="BemboStd" w:eastAsia="Times New Roman" w:hAnsi="BemboStd" w:cs="BemboStd"/>
      <w:color w:val="000000"/>
      <w:sz w:val="21"/>
      <w:szCs w:val="21"/>
    </w:rPr>
  </w:style>
  <w:style w:type="paragraph" w:customStyle="1" w:styleId="LRParaindent">
    <w:name w:val="LR_Para_indent"/>
    <w:basedOn w:val="LRParaFL"/>
    <w:uiPriority w:val="99"/>
    <w:rsid w:val="001255D2"/>
    <w:pPr>
      <w:ind w:firstLine="283"/>
    </w:pPr>
  </w:style>
  <w:style w:type="paragraph" w:customStyle="1" w:styleId="LRQuote1">
    <w:name w:val="LR_Quote1"/>
    <w:basedOn w:val="Normal"/>
    <w:uiPriority w:val="99"/>
    <w:rsid w:val="001255D2"/>
    <w:pPr>
      <w:widowControl w:val="0"/>
      <w:tabs>
        <w:tab w:val="left" w:pos="907"/>
      </w:tabs>
      <w:suppressAutoHyphens/>
      <w:autoSpaceDE w:val="0"/>
      <w:autoSpaceDN w:val="0"/>
      <w:adjustRightInd w:val="0"/>
      <w:spacing w:line="220" w:lineRule="atLeast"/>
      <w:ind w:left="454"/>
      <w:jc w:val="both"/>
      <w:textAlignment w:val="center"/>
    </w:pPr>
    <w:rPr>
      <w:rFonts w:ascii="BemboStd" w:eastAsia="Times New Roman" w:hAnsi="BemboStd" w:cs="BemboStd"/>
      <w:color w:val="000000"/>
      <w:sz w:val="19"/>
      <w:szCs w:val="19"/>
      <w:lang w:val="en-GB"/>
    </w:rPr>
  </w:style>
  <w:style w:type="character" w:customStyle="1" w:styleId="BemboItalix">
    <w:name w:val="BemboItalix"/>
    <w:uiPriority w:val="99"/>
    <w:rsid w:val="001255D2"/>
    <w:rPr>
      <w:rFonts w:ascii="BemboStd-Italic" w:hAnsi="BemboStd-Italic" w:cs="BemboStd-Italic"/>
      <w:i/>
      <w:iCs/>
    </w:rPr>
  </w:style>
  <w:style w:type="paragraph" w:customStyle="1" w:styleId="teal">
    <w:name w:val="teal"/>
    <w:basedOn w:val="Normal"/>
    <w:rsid w:val="00164D72"/>
    <w:pPr>
      <w:spacing w:before="100" w:beforeAutospacing="1" w:after="100" w:afterAutospacing="1"/>
    </w:pPr>
    <w:rPr>
      <w:rFonts w:ascii="Times New Roman" w:eastAsia="Times New Roman" w:hAnsi="Times New Roman"/>
      <w:szCs w:val="24"/>
    </w:rPr>
  </w:style>
  <w:style w:type="paragraph" w:customStyle="1" w:styleId="mid-grey-text">
    <w:name w:val="mid-grey-text"/>
    <w:basedOn w:val="Normal"/>
    <w:rsid w:val="00164D72"/>
    <w:pPr>
      <w:spacing w:before="100" w:beforeAutospacing="1" w:after="100" w:afterAutospacing="1"/>
    </w:pPr>
    <w:rPr>
      <w:rFonts w:ascii="Times New Roman" w:eastAsia="Times New Roman" w:hAnsi="Times New Roman"/>
      <w:szCs w:val="24"/>
    </w:rPr>
  </w:style>
  <w:style w:type="paragraph" w:customStyle="1" w:styleId="Pa13">
    <w:name w:val="Pa13"/>
    <w:basedOn w:val="Default"/>
    <w:next w:val="Default"/>
    <w:uiPriority w:val="99"/>
    <w:rsid w:val="00CC2B76"/>
    <w:pPr>
      <w:widowControl/>
      <w:spacing w:line="221" w:lineRule="atLeast"/>
    </w:pPr>
    <w:rPr>
      <w:rFonts w:ascii="Helvetica LT Std" w:eastAsia="Times" w:hAnsi="Helvetica LT Std" w:cs="Times New Roman"/>
      <w:color w:val="auto"/>
    </w:rPr>
  </w:style>
  <w:style w:type="character" w:customStyle="1" w:styleId="A7">
    <w:name w:val="A7"/>
    <w:uiPriority w:val="99"/>
    <w:rsid w:val="00CC2B76"/>
    <w:rPr>
      <w:rFonts w:ascii="Bembo Std" w:hAnsi="Bembo Std" w:cs="Bembo Std"/>
      <w:color w:val="221E1F"/>
      <w:sz w:val="21"/>
      <w:szCs w:val="21"/>
    </w:rPr>
  </w:style>
  <w:style w:type="character" w:customStyle="1" w:styleId="xml-punctuation">
    <w:name w:val="xml-punctuation"/>
    <w:basedOn w:val="DefaultParagraphFont"/>
    <w:rsid w:val="00B6665B"/>
  </w:style>
  <w:style w:type="character" w:customStyle="1" w:styleId="xml-tagname">
    <w:name w:val="xml-tagname"/>
    <w:basedOn w:val="DefaultParagraphFont"/>
    <w:rsid w:val="00B6665B"/>
  </w:style>
  <w:style w:type="paragraph" w:customStyle="1" w:styleId="Pa19">
    <w:name w:val="Pa19"/>
    <w:basedOn w:val="Default"/>
    <w:next w:val="Default"/>
    <w:uiPriority w:val="99"/>
    <w:rsid w:val="009D0BCC"/>
    <w:pPr>
      <w:widowControl/>
      <w:spacing w:line="221" w:lineRule="atLeast"/>
    </w:pPr>
    <w:rPr>
      <w:rFonts w:ascii="Helvetica LT Std" w:eastAsia="Times" w:hAnsi="Helvetica LT Std" w:cs="Times New Roman"/>
      <w:color w:val="auto"/>
    </w:rPr>
  </w:style>
  <w:style w:type="paragraph" w:customStyle="1" w:styleId="Pa12">
    <w:name w:val="Pa12"/>
    <w:basedOn w:val="Default"/>
    <w:next w:val="Default"/>
    <w:uiPriority w:val="99"/>
    <w:rsid w:val="009D0BCC"/>
    <w:pPr>
      <w:widowControl/>
      <w:spacing w:line="221" w:lineRule="atLeast"/>
    </w:pPr>
    <w:rPr>
      <w:rFonts w:ascii="Helvetica LT Std" w:eastAsia="Times" w:hAnsi="Helvetica LT Std" w:cs="Times New Roman"/>
      <w:color w:val="auto"/>
    </w:rPr>
  </w:style>
  <w:style w:type="paragraph" w:customStyle="1" w:styleId="Pa24">
    <w:name w:val="Pa24"/>
    <w:basedOn w:val="Default"/>
    <w:next w:val="Default"/>
    <w:uiPriority w:val="99"/>
    <w:rsid w:val="009D0BCC"/>
    <w:pPr>
      <w:widowControl/>
      <w:spacing w:line="211" w:lineRule="atLeast"/>
    </w:pPr>
    <w:rPr>
      <w:rFonts w:ascii="Helvetica LT Std" w:eastAsia="Times" w:hAnsi="Helvetica LT Std" w:cs="Times New Roman"/>
      <w:color w:val="auto"/>
    </w:rPr>
  </w:style>
  <w:style w:type="paragraph" w:customStyle="1" w:styleId="para">
    <w:name w:val="para"/>
    <w:basedOn w:val="Normal"/>
    <w:link w:val="paraChar"/>
    <w:qFormat/>
    <w:rsid w:val="00FE2EE5"/>
    <w:pPr>
      <w:spacing w:after="200" w:line="276" w:lineRule="auto"/>
    </w:pPr>
    <w:rPr>
      <w:rFonts w:ascii="Verdana" w:eastAsia="Calibri" w:hAnsi="Verdana"/>
      <w:sz w:val="20"/>
      <w:szCs w:val="22"/>
      <w:lang w:val="en-ZA"/>
    </w:rPr>
  </w:style>
  <w:style w:type="character" w:customStyle="1" w:styleId="paraChar">
    <w:name w:val="para Char"/>
    <w:link w:val="para"/>
    <w:rsid w:val="00FE2EE5"/>
    <w:rPr>
      <w:rFonts w:ascii="Verdana" w:eastAsia="Calibri" w:hAnsi="Verdana"/>
      <w:szCs w:val="22"/>
      <w:lang w:val="en-ZA"/>
    </w:rPr>
  </w:style>
  <w:style w:type="character" w:styleId="CommentReference">
    <w:name w:val="annotation reference"/>
    <w:uiPriority w:val="99"/>
    <w:semiHidden/>
    <w:unhideWhenUsed/>
    <w:rsid w:val="00FE2EE5"/>
    <w:rPr>
      <w:sz w:val="16"/>
      <w:szCs w:val="16"/>
    </w:rPr>
  </w:style>
  <w:style w:type="paragraph" w:styleId="CommentText">
    <w:name w:val="annotation text"/>
    <w:basedOn w:val="Normal"/>
    <w:link w:val="CommentTextChar"/>
    <w:uiPriority w:val="99"/>
    <w:semiHidden/>
    <w:unhideWhenUsed/>
    <w:rsid w:val="00FE2EE5"/>
    <w:pPr>
      <w:spacing w:after="200" w:line="276" w:lineRule="auto"/>
    </w:pPr>
    <w:rPr>
      <w:rFonts w:ascii="Verdana" w:eastAsia="Calibri" w:hAnsi="Verdana"/>
      <w:sz w:val="20"/>
      <w:lang w:val="en-ZA"/>
    </w:rPr>
  </w:style>
  <w:style w:type="character" w:customStyle="1" w:styleId="CommentTextChar">
    <w:name w:val="Comment Text Char"/>
    <w:basedOn w:val="DefaultParagraphFont"/>
    <w:link w:val="CommentText"/>
    <w:uiPriority w:val="99"/>
    <w:semiHidden/>
    <w:rsid w:val="00FE2EE5"/>
    <w:rPr>
      <w:rFonts w:ascii="Verdana" w:eastAsia="Calibri" w:hAnsi="Verdana"/>
      <w:lang w:val="en-ZA"/>
    </w:rPr>
  </w:style>
  <w:style w:type="paragraph" w:customStyle="1" w:styleId="BasicParagraph">
    <w:name w:val="[Basic Paragraph]"/>
    <w:basedOn w:val="Normal"/>
    <w:uiPriority w:val="99"/>
    <w:rsid w:val="003B37FF"/>
    <w:pPr>
      <w:widowControl w:val="0"/>
      <w:autoSpaceDE w:val="0"/>
      <w:autoSpaceDN w:val="0"/>
      <w:adjustRightInd w:val="0"/>
      <w:spacing w:line="288" w:lineRule="auto"/>
      <w:textAlignment w:val="center"/>
    </w:pPr>
    <w:rPr>
      <w:rFonts w:ascii="MinionPro-Regular" w:eastAsia="Times New Roman" w:hAnsi="MinionPro-Regular" w:cs="MinionPro-Regular"/>
      <w:color w:val="000000"/>
      <w:szCs w:val="24"/>
      <w:lang w:val="en-GB" w:eastAsia="en-ZA"/>
    </w:rPr>
  </w:style>
</w:styles>
</file>

<file path=word/webSettings.xml><?xml version="1.0" encoding="utf-8"?>
<w:webSettings xmlns:r="http://schemas.openxmlformats.org/officeDocument/2006/relationships" xmlns:w="http://schemas.openxmlformats.org/wordprocessingml/2006/main">
  <w:divs>
    <w:div w:id="7609674">
      <w:bodyDiv w:val="1"/>
      <w:marLeft w:val="0"/>
      <w:marRight w:val="0"/>
      <w:marTop w:val="0"/>
      <w:marBottom w:val="0"/>
      <w:divBdr>
        <w:top w:val="none" w:sz="0" w:space="0" w:color="auto"/>
        <w:left w:val="none" w:sz="0" w:space="0" w:color="auto"/>
        <w:bottom w:val="none" w:sz="0" w:space="0" w:color="auto"/>
        <w:right w:val="none" w:sz="0" w:space="0" w:color="auto"/>
      </w:divBdr>
    </w:div>
    <w:div w:id="326447476">
      <w:bodyDiv w:val="1"/>
      <w:marLeft w:val="0"/>
      <w:marRight w:val="0"/>
      <w:marTop w:val="0"/>
      <w:marBottom w:val="0"/>
      <w:divBdr>
        <w:top w:val="none" w:sz="0" w:space="0" w:color="auto"/>
        <w:left w:val="none" w:sz="0" w:space="0" w:color="auto"/>
        <w:bottom w:val="none" w:sz="0" w:space="0" w:color="auto"/>
        <w:right w:val="none" w:sz="0" w:space="0" w:color="auto"/>
      </w:divBdr>
      <w:divsChild>
        <w:div w:id="844709873">
          <w:marLeft w:val="0"/>
          <w:marRight w:val="0"/>
          <w:marTop w:val="0"/>
          <w:marBottom w:val="0"/>
          <w:divBdr>
            <w:top w:val="none" w:sz="0" w:space="0" w:color="auto"/>
            <w:left w:val="none" w:sz="0" w:space="0" w:color="auto"/>
            <w:bottom w:val="none" w:sz="0" w:space="0" w:color="auto"/>
            <w:right w:val="none" w:sz="0" w:space="0" w:color="auto"/>
          </w:divBdr>
          <w:divsChild>
            <w:div w:id="1140657561">
              <w:marLeft w:val="0"/>
              <w:marRight w:val="0"/>
              <w:marTop w:val="0"/>
              <w:marBottom w:val="0"/>
              <w:divBdr>
                <w:top w:val="none" w:sz="0" w:space="0" w:color="auto"/>
                <w:left w:val="none" w:sz="0" w:space="0" w:color="auto"/>
                <w:bottom w:val="none" w:sz="0" w:space="0" w:color="auto"/>
                <w:right w:val="none" w:sz="0" w:space="0" w:color="auto"/>
              </w:divBdr>
              <w:divsChild>
                <w:div w:id="26297031">
                  <w:marLeft w:val="0"/>
                  <w:marRight w:val="0"/>
                  <w:marTop w:val="0"/>
                  <w:marBottom w:val="0"/>
                  <w:divBdr>
                    <w:top w:val="none" w:sz="0" w:space="0" w:color="auto"/>
                    <w:left w:val="none" w:sz="0" w:space="0" w:color="auto"/>
                    <w:bottom w:val="none" w:sz="0" w:space="0" w:color="auto"/>
                    <w:right w:val="none" w:sz="0" w:space="0" w:color="auto"/>
                  </w:divBdr>
                </w:div>
                <w:div w:id="178128128">
                  <w:marLeft w:val="0"/>
                  <w:marRight w:val="0"/>
                  <w:marTop w:val="0"/>
                  <w:marBottom w:val="0"/>
                  <w:divBdr>
                    <w:top w:val="none" w:sz="0" w:space="0" w:color="auto"/>
                    <w:left w:val="none" w:sz="0" w:space="0" w:color="auto"/>
                    <w:bottom w:val="none" w:sz="0" w:space="0" w:color="auto"/>
                    <w:right w:val="none" w:sz="0" w:space="0" w:color="auto"/>
                  </w:divBdr>
                </w:div>
                <w:div w:id="180822153">
                  <w:marLeft w:val="0"/>
                  <w:marRight w:val="0"/>
                  <w:marTop w:val="0"/>
                  <w:marBottom w:val="0"/>
                  <w:divBdr>
                    <w:top w:val="none" w:sz="0" w:space="0" w:color="auto"/>
                    <w:left w:val="none" w:sz="0" w:space="0" w:color="auto"/>
                    <w:bottom w:val="none" w:sz="0" w:space="0" w:color="auto"/>
                    <w:right w:val="none" w:sz="0" w:space="0" w:color="auto"/>
                  </w:divBdr>
                </w:div>
                <w:div w:id="756948348">
                  <w:marLeft w:val="0"/>
                  <w:marRight w:val="0"/>
                  <w:marTop w:val="0"/>
                  <w:marBottom w:val="0"/>
                  <w:divBdr>
                    <w:top w:val="none" w:sz="0" w:space="0" w:color="auto"/>
                    <w:left w:val="none" w:sz="0" w:space="0" w:color="auto"/>
                    <w:bottom w:val="none" w:sz="0" w:space="0" w:color="auto"/>
                    <w:right w:val="none" w:sz="0" w:space="0" w:color="auto"/>
                  </w:divBdr>
                </w:div>
                <w:div w:id="1008865827">
                  <w:marLeft w:val="0"/>
                  <w:marRight w:val="0"/>
                  <w:marTop w:val="0"/>
                  <w:marBottom w:val="0"/>
                  <w:divBdr>
                    <w:top w:val="none" w:sz="0" w:space="0" w:color="auto"/>
                    <w:left w:val="none" w:sz="0" w:space="0" w:color="auto"/>
                    <w:bottom w:val="none" w:sz="0" w:space="0" w:color="auto"/>
                    <w:right w:val="none" w:sz="0" w:space="0" w:color="auto"/>
                  </w:divBdr>
                </w:div>
                <w:div w:id="1098522558">
                  <w:marLeft w:val="0"/>
                  <w:marRight w:val="0"/>
                  <w:marTop w:val="0"/>
                  <w:marBottom w:val="0"/>
                  <w:divBdr>
                    <w:top w:val="none" w:sz="0" w:space="0" w:color="auto"/>
                    <w:left w:val="none" w:sz="0" w:space="0" w:color="auto"/>
                    <w:bottom w:val="none" w:sz="0" w:space="0" w:color="auto"/>
                    <w:right w:val="none" w:sz="0" w:space="0" w:color="auto"/>
                  </w:divBdr>
                </w:div>
                <w:div w:id="1310358698">
                  <w:marLeft w:val="0"/>
                  <w:marRight w:val="0"/>
                  <w:marTop w:val="0"/>
                  <w:marBottom w:val="0"/>
                  <w:divBdr>
                    <w:top w:val="none" w:sz="0" w:space="0" w:color="auto"/>
                    <w:left w:val="none" w:sz="0" w:space="0" w:color="auto"/>
                    <w:bottom w:val="none" w:sz="0" w:space="0" w:color="auto"/>
                    <w:right w:val="none" w:sz="0" w:space="0" w:color="auto"/>
                  </w:divBdr>
                </w:div>
                <w:div w:id="1461722520">
                  <w:marLeft w:val="0"/>
                  <w:marRight w:val="0"/>
                  <w:marTop w:val="0"/>
                  <w:marBottom w:val="0"/>
                  <w:divBdr>
                    <w:top w:val="none" w:sz="0" w:space="0" w:color="auto"/>
                    <w:left w:val="none" w:sz="0" w:space="0" w:color="auto"/>
                    <w:bottom w:val="none" w:sz="0" w:space="0" w:color="auto"/>
                    <w:right w:val="none" w:sz="0" w:space="0" w:color="auto"/>
                  </w:divBdr>
                </w:div>
                <w:div w:id="1591423253">
                  <w:marLeft w:val="0"/>
                  <w:marRight w:val="0"/>
                  <w:marTop w:val="0"/>
                  <w:marBottom w:val="0"/>
                  <w:divBdr>
                    <w:top w:val="none" w:sz="0" w:space="0" w:color="auto"/>
                    <w:left w:val="none" w:sz="0" w:space="0" w:color="auto"/>
                    <w:bottom w:val="none" w:sz="0" w:space="0" w:color="auto"/>
                    <w:right w:val="none" w:sz="0" w:space="0" w:color="auto"/>
                  </w:divBdr>
                </w:div>
                <w:div w:id="1708989419">
                  <w:marLeft w:val="0"/>
                  <w:marRight w:val="0"/>
                  <w:marTop w:val="0"/>
                  <w:marBottom w:val="0"/>
                  <w:divBdr>
                    <w:top w:val="none" w:sz="0" w:space="0" w:color="auto"/>
                    <w:left w:val="none" w:sz="0" w:space="0" w:color="auto"/>
                    <w:bottom w:val="none" w:sz="0" w:space="0" w:color="auto"/>
                    <w:right w:val="none" w:sz="0" w:space="0" w:color="auto"/>
                  </w:divBdr>
                </w:div>
                <w:div w:id="213097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808404">
      <w:bodyDiv w:val="1"/>
      <w:marLeft w:val="0"/>
      <w:marRight w:val="0"/>
      <w:marTop w:val="0"/>
      <w:marBottom w:val="0"/>
      <w:divBdr>
        <w:top w:val="none" w:sz="0" w:space="0" w:color="auto"/>
        <w:left w:val="none" w:sz="0" w:space="0" w:color="auto"/>
        <w:bottom w:val="none" w:sz="0" w:space="0" w:color="auto"/>
        <w:right w:val="none" w:sz="0" w:space="0" w:color="auto"/>
      </w:divBdr>
      <w:divsChild>
        <w:div w:id="401100002">
          <w:marLeft w:val="0"/>
          <w:marRight w:val="0"/>
          <w:marTop w:val="0"/>
          <w:marBottom w:val="0"/>
          <w:divBdr>
            <w:top w:val="none" w:sz="0" w:space="0" w:color="auto"/>
            <w:left w:val="none" w:sz="0" w:space="0" w:color="auto"/>
            <w:bottom w:val="none" w:sz="0" w:space="0" w:color="auto"/>
            <w:right w:val="none" w:sz="0" w:space="0" w:color="auto"/>
          </w:divBdr>
        </w:div>
      </w:divsChild>
    </w:div>
    <w:div w:id="773089322">
      <w:bodyDiv w:val="1"/>
      <w:marLeft w:val="0"/>
      <w:marRight w:val="0"/>
      <w:marTop w:val="0"/>
      <w:marBottom w:val="0"/>
      <w:divBdr>
        <w:top w:val="none" w:sz="0" w:space="0" w:color="auto"/>
        <w:left w:val="none" w:sz="0" w:space="0" w:color="auto"/>
        <w:bottom w:val="none" w:sz="0" w:space="0" w:color="auto"/>
        <w:right w:val="none" w:sz="0" w:space="0" w:color="auto"/>
      </w:divBdr>
      <w:divsChild>
        <w:div w:id="122385815">
          <w:marLeft w:val="0"/>
          <w:marRight w:val="0"/>
          <w:marTop w:val="0"/>
          <w:marBottom w:val="0"/>
          <w:divBdr>
            <w:top w:val="none" w:sz="0" w:space="0" w:color="auto"/>
            <w:left w:val="none" w:sz="0" w:space="0" w:color="auto"/>
            <w:bottom w:val="single" w:sz="6" w:space="0" w:color="CCCCCC"/>
            <w:right w:val="none" w:sz="0" w:space="0" w:color="auto"/>
          </w:divBdr>
        </w:div>
        <w:div w:id="274097863">
          <w:marLeft w:val="0"/>
          <w:marRight w:val="0"/>
          <w:marTop w:val="0"/>
          <w:marBottom w:val="0"/>
          <w:divBdr>
            <w:top w:val="none" w:sz="0" w:space="0" w:color="auto"/>
            <w:left w:val="none" w:sz="0" w:space="0" w:color="auto"/>
            <w:bottom w:val="none" w:sz="0" w:space="0" w:color="auto"/>
            <w:right w:val="none" w:sz="0" w:space="0" w:color="auto"/>
          </w:divBdr>
        </w:div>
        <w:div w:id="353074656">
          <w:marLeft w:val="0"/>
          <w:marRight w:val="0"/>
          <w:marTop w:val="0"/>
          <w:marBottom w:val="0"/>
          <w:divBdr>
            <w:top w:val="none" w:sz="0" w:space="0" w:color="auto"/>
            <w:left w:val="none" w:sz="0" w:space="0" w:color="auto"/>
            <w:bottom w:val="single" w:sz="6" w:space="0" w:color="333333"/>
            <w:right w:val="none" w:sz="0" w:space="0" w:color="auto"/>
          </w:divBdr>
        </w:div>
        <w:div w:id="432214754">
          <w:marLeft w:val="0"/>
          <w:marRight w:val="0"/>
          <w:marTop w:val="0"/>
          <w:marBottom w:val="0"/>
          <w:divBdr>
            <w:top w:val="none" w:sz="0" w:space="0" w:color="auto"/>
            <w:left w:val="none" w:sz="0" w:space="0" w:color="auto"/>
            <w:bottom w:val="none" w:sz="0" w:space="0" w:color="auto"/>
            <w:right w:val="none" w:sz="0" w:space="0" w:color="auto"/>
          </w:divBdr>
        </w:div>
        <w:div w:id="867066071">
          <w:marLeft w:val="0"/>
          <w:marRight w:val="0"/>
          <w:marTop w:val="0"/>
          <w:marBottom w:val="0"/>
          <w:divBdr>
            <w:top w:val="none" w:sz="0" w:space="0" w:color="auto"/>
            <w:left w:val="none" w:sz="0" w:space="0" w:color="auto"/>
            <w:bottom w:val="none" w:sz="0" w:space="0" w:color="auto"/>
            <w:right w:val="none" w:sz="0" w:space="0" w:color="auto"/>
          </w:divBdr>
        </w:div>
        <w:div w:id="913666174">
          <w:marLeft w:val="0"/>
          <w:marRight w:val="0"/>
          <w:marTop w:val="0"/>
          <w:marBottom w:val="0"/>
          <w:divBdr>
            <w:top w:val="none" w:sz="0" w:space="0" w:color="auto"/>
            <w:left w:val="none" w:sz="0" w:space="0" w:color="auto"/>
            <w:bottom w:val="none" w:sz="0" w:space="0" w:color="auto"/>
            <w:right w:val="none" w:sz="0" w:space="0" w:color="auto"/>
          </w:divBdr>
        </w:div>
        <w:div w:id="1519276713">
          <w:marLeft w:val="0"/>
          <w:marRight w:val="0"/>
          <w:marTop w:val="0"/>
          <w:marBottom w:val="0"/>
          <w:divBdr>
            <w:top w:val="none" w:sz="0" w:space="0" w:color="auto"/>
            <w:left w:val="none" w:sz="0" w:space="0" w:color="auto"/>
            <w:bottom w:val="single" w:sz="6" w:space="0" w:color="CCCCCC"/>
            <w:right w:val="none" w:sz="0" w:space="0" w:color="auto"/>
          </w:divBdr>
        </w:div>
        <w:div w:id="1716806463">
          <w:marLeft w:val="0"/>
          <w:marRight w:val="0"/>
          <w:marTop w:val="0"/>
          <w:marBottom w:val="0"/>
          <w:divBdr>
            <w:top w:val="none" w:sz="0" w:space="0" w:color="auto"/>
            <w:left w:val="none" w:sz="0" w:space="0" w:color="auto"/>
            <w:bottom w:val="single" w:sz="6" w:space="0" w:color="CCCCCC"/>
            <w:right w:val="none" w:sz="0" w:space="0" w:color="auto"/>
          </w:divBdr>
        </w:div>
      </w:divsChild>
    </w:div>
    <w:div w:id="1145851461">
      <w:bodyDiv w:val="1"/>
      <w:marLeft w:val="0"/>
      <w:marRight w:val="0"/>
      <w:marTop w:val="0"/>
      <w:marBottom w:val="0"/>
      <w:divBdr>
        <w:top w:val="none" w:sz="0" w:space="0" w:color="auto"/>
        <w:left w:val="none" w:sz="0" w:space="0" w:color="auto"/>
        <w:bottom w:val="none" w:sz="0" w:space="0" w:color="auto"/>
        <w:right w:val="none" w:sz="0" w:space="0" w:color="auto"/>
      </w:divBdr>
    </w:div>
    <w:div w:id="1329015199">
      <w:bodyDiv w:val="1"/>
      <w:marLeft w:val="0"/>
      <w:marRight w:val="0"/>
      <w:marTop w:val="0"/>
      <w:marBottom w:val="0"/>
      <w:divBdr>
        <w:top w:val="none" w:sz="0" w:space="0" w:color="auto"/>
        <w:left w:val="none" w:sz="0" w:space="0" w:color="auto"/>
        <w:bottom w:val="none" w:sz="0" w:space="0" w:color="auto"/>
        <w:right w:val="none" w:sz="0" w:space="0" w:color="auto"/>
      </w:divBdr>
    </w:div>
    <w:div w:id="1367944632">
      <w:bodyDiv w:val="1"/>
      <w:marLeft w:val="0"/>
      <w:marRight w:val="0"/>
      <w:marTop w:val="0"/>
      <w:marBottom w:val="0"/>
      <w:divBdr>
        <w:top w:val="none" w:sz="0" w:space="0" w:color="auto"/>
        <w:left w:val="none" w:sz="0" w:space="0" w:color="auto"/>
        <w:bottom w:val="none" w:sz="0" w:space="0" w:color="auto"/>
        <w:right w:val="none" w:sz="0" w:space="0" w:color="auto"/>
      </w:divBdr>
    </w:div>
    <w:div w:id="1374381971">
      <w:bodyDiv w:val="1"/>
      <w:marLeft w:val="0"/>
      <w:marRight w:val="0"/>
      <w:marTop w:val="0"/>
      <w:marBottom w:val="0"/>
      <w:divBdr>
        <w:top w:val="none" w:sz="0" w:space="0" w:color="auto"/>
        <w:left w:val="none" w:sz="0" w:space="0" w:color="auto"/>
        <w:bottom w:val="none" w:sz="0" w:space="0" w:color="auto"/>
        <w:right w:val="none" w:sz="0" w:space="0" w:color="auto"/>
      </w:divBdr>
    </w:div>
    <w:div w:id="1697850260">
      <w:bodyDiv w:val="1"/>
      <w:marLeft w:val="0"/>
      <w:marRight w:val="0"/>
      <w:marTop w:val="0"/>
      <w:marBottom w:val="0"/>
      <w:divBdr>
        <w:top w:val="none" w:sz="0" w:space="0" w:color="auto"/>
        <w:left w:val="none" w:sz="0" w:space="0" w:color="auto"/>
        <w:bottom w:val="none" w:sz="0" w:space="0" w:color="auto"/>
        <w:right w:val="none" w:sz="0" w:space="0" w:color="auto"/>
      </w:divBdr>
    </w:div>
    <w:div w:id="1711681118">
      <w:bodyDiv w:val="1"/>
      <w:marLeft w:val="0"/>
      <w:marRight w:val="0"/>
      <w:marTop w:val="0"/>
      <w:marBottom w:val="0"/>
      <w:divBdr>
        <w:top w:val="none" w:sz="0" w:space="0" w:color="auto"/>
        <w:left w:val="none" w:sz="0" w:space="0" w:color="auto"/>
        <w:bottom w:val="none" w:sz="0" w:space="0" w:color="auto"/>
        <w:right w:val="none" w:sz="0" w:space="0" w:color="auto"/>
      </w:divBdr>
      <w:divsChild>
        <w:div w:id="844368169">
          <w:marLeft w:val="0"/>
          <w:marRight w:val="0"/>
          <w:marTop w:val="0"/>
          <w:marBottom w:val="0"/>
          <w:divBdr>
            <w:top w:val="none" w:sz="0" w:space="0" w:color="auto"/>
            <w:left w:val="none" w:sz="0" w:space="0" w:color="auto"/>
            <w:bottom w:val="none" w:sz="0" w:space="0" w:color="auto"/>
            <w:right w:val="none" w:sz="0" w:space="0" w:color="auto"/>
          </w:divBdr>
          <w:divsChild>
            <w:div w:id="115888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949062">
      <w:bodyDiv w:val="1"/>
      <w:marLeft w:val="0"/>
      <w:marRight w:val="0"/>
      <w:marTop w:val="0"/>
      <w:marBottom w:val="0"/>
      <w:divBdr>
        <w:top w:val="none" w:sz="0" w:space="0" w:color="auto"/>
        <w:left w:val="none" w:sz="0" w:space="0" w:color="auto"/>
        <w:bottom w:val="none" w:sz="0" w:space="0" w:color="auto"/>
        <w:right w:val="none" w:sz="0" w:space="0" w:color="auto"/>
      </w:divBdr>
    </w:div>
    <w:div w:id="1755779936">
      <w:bodyDiv w:val="1"/>
      <w:marLeft w:val="60"/>
      <w:marRight w:val="60"/>
      <w:marTop w:val="60"/>
      <w:marBottom w:val="15"/>
      <w:divBdr>
        <w:top w:val="none" w:sz="0" w:space="0" w:color="auto"/>
        <w:left w:val="none" w:sz="0" w:space="0" w:color="auto"/>
        <w:bottom w:val="none" w:sz="0" w:space="0" w:color="auto"/>
        <w:right w:val="none" w:sz="0" w:space="0" w:color="auto"/>
      </w:divBdr>
    </w:div>
    <w:div w:id="1949388278">
      <w:bodyDiv w:val="1"/>
      <w:marLeft w:val="0"/>
      <w:marRight w:val="0"/>
      <w:marTop w:val="0"/>
      <w:marBottom w:val="0"/>
      <w:divBdr>
        <w:top w:val="none" w:sz="0" w:space="0" w:color="auto"/>
        <w:left w:val="none" w:sz="0" w:space="0" w:color="auto"/>
        <w:bottom w:val="none" w:sz="0" w:space="0" w:color="auto"/>
        <w:right w:val="none" w:sz="0" w:space="0" w:color="auto"/>
      </w:divBdr>
    </w:div>
    <w:div w:id="2055038367">
      <w:bodyDiv w:val="1"/>
      <w:marLeft w:val="0"/>
      <w:marRight w:val="0"/>
      <w:marTop w:val="0"/>
      <w:marBottom w:val="0"/>
      <w:divBdr>
        <w:top w:val="none" w:sz="0" w:space="0" w:color="auto"/>
        <w:left w:val="none" w:sz="0" w:space="0" w:color="auto"/>
        <w:bottom w:val="none" w:sz="0" w:space="0" w:color="auto"/>
        <w:right w:val="none" w:sz="0" w:space="0" w:color="auto"/>
      </w:divBdr>
    </w:div>
    <w:div w:id="2068608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lawmarketing@juta.co.z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legalbrief.co.za/" TargetMode="External"/><Relationship Id="rId4" Type="http://schemas.openxmlformats.org/officeDocument/2006/relationships/settings" Target="settings.xml"/><Relationship Id="rId9" Type="http://schemas.openxmlformats.org/officeDocument/2006/relationships/hyperlink" Target="mailto:lfaro@juta.co.za"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file:///\\192.1.1.100\The%20Shrine\%20Creativity%20Junction\For%20Della\JUTA\MS%20Word\:FOOTER.wmf" TargetMode="External"/><Relationship Id="rId2" Type="http://schemas.openxmlformats.org/officeDocument/2006/relationships/image" Target="media/image2.wmf"/><Relationship Id="rId1" Type="http://schemas.openxmlformats.org/officeDocument/2006/relationships/hyperlink" Target="http://www.jutalaw.co.z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Inetpub\wwwroot\newintranet\HRlinks\JUTA%20AND%20COMPANY%20LETTERHEAD%20MAY%20200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37B6C7-18A2-48E6-A353-28047EECF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JUTA AND COMPANY LETTERHEAD MAY 2006</Template>
  <TotalTime>54</TotalTime>
  <Pages>4</Pages>
  <Words>2195</Words>
  <Characters>11222</Characters>
  <Application>Microsoft Office Word</Application>
  <DocSecurity>0</DocSecurity>
  <Lines>187</Lines>
  <Paragraphs>45</Paragraphs>
  <ScaleCrop>false</ScaleCrop>
  <HeadingPairs>
    <vt:vector size="2" baseType="variant">
      <vt:variant>
        <vt:lpstr>Title</vt:lpstr>
      </vt:variant>
      <vt:variant>
        <vt:i4>1</vt:i4>
      </vt:variant>
    </vt:vector>
  </HeadingPairs>
  <TitlesOfParts>
    <vt:vector size="1" baseType="lpstr">
      <vt:lpstr>21 January 2004</vt:lpstr>
    </vt:vector>
  </TitlesOfParts>
  <Company>...</Company>
  <LinksUpToDate>false</LinksUpToDate>
  <CharactersWithSpaces>13372</CharactersWithSpaces>
  <SharedDoc>false</SharedDoc>
  <HLinks>
    <vt:vector size="12" baseType="variant">
      <vt:variant>
        <vt:i4>4653162</vt:i4>
      </vt:variant>
      <vt:variant>
        <vt:i4>0</vt:i4>
      </vt:variant>
      <vt:variant>
        <vt:i4>0</vt:i4>
      </vt:variant>
      <vt:variant>
        <vt:i4>5</vt:i4>
      </vt:variant>
      <vt:variant>
        <vt:lpwstr>mailto:%20lawmarketing@juta.co.za</vt:lpwstr>
      </vt:variant>
      <vt:variant>
        <vt:lpwstr/>
      </vt:variant>
      <vt:variant>
        <vt:i4>131102</vt:i4>
      </vt:variant>
      <vt:variant>
        <vt:i4>0</vt:i4>
      </vt:variant>
      <vt:variant>
        <vt:i4>0</vt:i4>
      </vt:variant>
      <vt:variant>
        <vt:i4>5</vt:i4>
      </vt:variant>
      <vt:variant>
        <vt:lpwstr>http://www.jutalaw.co.za/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 January 2004</dc:title>
  <dc:creator>ahess</dc:creator>
  <cp:lastModifiedBy>Mmnensa</cp:lastModifiedBy>
  <cp:revision>6</cp:revision>
  <cp:lastPrinted>2014-02-07T13:09:00Z</cp:lastPrinted>
  <dcterms:created xsi:type="dcterms:W3CDTF">2014-11-28T08:49:00Z</dcterms:created>
  <dcterms:modified xsi:type="dcterms:W3CDTF">2014-12-05T10:00:00Z</dcterms:modified>
</cp:coreProperties>
</file>