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38565B">
      <w:pPr>
        <w:autoSpaceDE w:val="0"/>
        <w:autoSpaceDN w:val="0"/>
        <w:adjustRightInd w:val="0"/>
        <w:spacing w:line="240" w:lineRule="atLeast"/>
        <w:jc w:val="center"/>
        <w:rPr>
          <w:rFonts w:ascii="Verdana" w:hAnsi="Verdana" w:cs="Arial"/>
          <w:b/>
          <w:color w:val="31849B"/>
          <w:sz w:val="18"/>
          <w:szCs w:val="18"/>
          <w:lang w:eastAsia="en-ZA"/>
        </w:rPr>
      </w:pPr>
    </w:p>
    <w:p w:rsidR="00F00009" w:rsidRDefault="00287E62" w:rsidP="0038565B">
      <w:pPr>
        <w:autoSpaceDE w:val="0"/>
        <w:autoSpaceDN w:val="0"/>
        <w:adjustRightInd w:val="0"/>
        <w:spacing w:line="240" w:lineRule="atLeast"/>
        <w:jc w:val="center"/>
        <w:rPr>
          <w:rFonts w:ascii="Verdana" w:hAnsi="Verdana" w:cs="Arial"/>
          <w:b/>
          <w:color w:val="31849B"/>
          <w:sz w:val="32"/>
          <w:szCs w:val="32"/>
          <w:lang w:eastAsia="en-ZA"/>
        </w:rPr>
      </w:pPr>
      <w:r>
        <w:rPr>
          <w:rFonts w:ascii="Verdana" w:hAnsi="Verdana" w:cs="Arial"/>
          <w:b/>
          <w:color w:val="31849B"/>
          <w:sz w:val="32"/>
          <w:szCs w:val="32"/>
          <w:lang w:eastAsia="en-ZA"/>
        </w:rPr>
        <w:t>INDUSTRIAL LAW JOURNAL PREVIEW</w:t>
      </w:r>
    </w:p>
    <w:p w:rsidR="00287E62" w:rsidRDefault="00287E62" w:rsidP="0038565B">
      <w:pPr>
        <w:autoSpaceDE w:val="0"/>
        <w:autoSpaceDN w:val="0"/>
        <w:adjustRightInd w:val="0"/>
        <w:spacing w:line="240" w:lineRule="atLeast"/>
        <w:jc w:val="center"/>
        <w:rPr>
          <w:rFonts w:ascii="Verdana" w:hAnsi="Verdana" w:cs="Arial"/>
          <w:b/>
          <w:color w:val="31849B"/>
          <w:sz w:val="32"/>
          <w:szCs w:val="32"/>
          <w:lang w:eastAsia="en-ZA"/>
        </w:rPr>
      </w:pPr>
    </w:p>
    <w:p w:rsidR="00287E62" w:rsidRPr="00287E62" w:rsidRDefault="00287E62"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VOLUME 3</w:t>
      </w:r>
      <w:r w:rsidR="0042481A">
        <w:rPr>
          <w:rFonts w:ascii="Verdana" w:hAnsi="Verdana" w:cs="Arial"/>
          <w:color w:val="31849B"/>
          <w:sz w:val="32"/>
          <w:szCs w:val="32"/>
          <w:lang w:eastAsia="en-ZA"/>
        </w:rPr>
        <w:t>5</w:t>
      </w:r>
    </w:p>
    <w:p w:rsidR="000B0DB2" w:rsidRPr="006B12D4" w:rsidRDefault="000B0DB2" w:rsidP="0038565B">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8242B4" w:rsidP="0038565B">
      <w:pPr>
        <w:autoSpaceDE w:val="0"/>
        <w:autoSpaceDN w:val="0"/>
        <w:adjustRightInd w:val="0"/>
        <w:spacing w:line="240" w:lineRule="atLeast"/>
        <w:jc w:val="center"/>
        <w:rPr>
          <w:rFonts w:ascii="Verdana" w:hAnsi="Verdana" w:cs="Arial"/>
          <w:color w:val="31849B"/>
          <w:sz w:val="32"/>
          <w:szCs w:val="32"/>
          <w:lang w:eastAsia="en-ZA"/>
        </w:rPr>
      </w:pPr>
      <w:r>
        <w:rPr>
          <w:rFonts w:ascii="Verdana" w:hAnsi="Verdana" w:cs="Arial"/>
          <w:color w:val="31849B"/>
          <w:sz w:val="32"/>
          <w:szCs w:val="32"/>
          <w:lang w:eastAsia="en-ZA"/>
        </w:rPr>
        <w:t>APRIL</w:t>
      </w:r>
      <w:r w:rsidR="00C46A0A">
        <w:rPr>
          <w:rFonts w:ascii="Verdana" w:hAnsi="Verdana" w:cs="Arial"/>
          <w:color w:val="31849B"/>
          <w:sz w:val="32"/>
          <w:szCs w:val="32"/>
          <w:lang w:eastAsia="en-ZA"/>
        </w:rPr>
        <w:t xml:space="preserve"> </w:t>
      </w:r>
      <w:r w:rsidR="00085C63" w:rsidRPr="006B12D4">
        <w:rPr>
          <w:rFonts w:ascii="Verdana" w:hAnsi="Verdana" w:cs="Arial"/>
          <w:color w:val="31849B"/>
          <w:sz w:val="32"/>
          <w:szCs w:val="32"/>
          <w:lang w:eastAsia="en-ZA"/>
        </w:rPr>
        <w:t>201</w:t>
      </w:r>
      <w:r w:rsidR="0042481A">
        <w:rPr>
          <w:rFonts w:ascii="Verdana" w:hAnsi="Verdana" w:cs="Arial"/>
          <w:color w:val="31849B"/>
          <w:sz w:val="32"/>
          <w:szCs w:val="32"/>
          <w:lang w:eastAsia="en-ZA"/>
        </w:rPr>
        <w:t>4</w:t>
      </w:r>
    </w:p>
    <w:p w:rsidR="00AD11DF" w:rsidRPr="009D0BCC" w:rsidRDefault="00AD11DF" w:rsidP="0038565B">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38565B">
      <w:pPr>
        <w:autoSpaceDE w:val="0"/>
        <w:autoSpaceDN w:val="0"/>
        <w:adjustRightInd w:val="0"/>
        <w:spacing w:line="240" w:lineRule="atLeast"/>
        <w:jc w:val="both"/>
        <w:rPr>
          <w:rFonts w:ascii="Verdana" w:hAnsi="Verdana" w:cs="Arial"/>
          <w:b/>
          <w:color w:val="4BACC6"/>
          <w:sz w:val="18"/>
          <w:szCs w:val="18"/>
          <w:lang w:eastAsia="en-ZA"/>
        </w:rPr>
      </w:pPr>
    </w:p>
    <w:p w:rsidR="00456706" w:rsidRPr="00FE2EE5" w:rsidRDefault="00456706" w:rsidP="0038565B">
      <w:pPr>
        <w:autoSpaceDE w:val="0"/>
        <w:autoSpaceDN w:val="0"/>
        <w:adjustRightInd w:val="0"/>
        <w:spacing w:line="240" w:lineRule="atLeast"/>
        <w:jc w:val="both"/>
        <w:rPr>
          <w:rFonts w:ascii="Verdana" w:hAnsi="Verdana" w:cs="Arial"/>
          <w:b/>
          <w:color w:val="4BACC6"/>
          <w:sz w:val="18"/>
          <w:szCs w:val="18"/>
          <w:lang w:eastAsia="en-ZA"/>
        </w:rPr>
      </w:pPr>
    </w:p>
    <w:p w:rsidR="00287E62" w:rsidRPr="00EE6807" w:rsidRDefault="00287E62" w:rsidP="0038565B">
      <w:pPr>
        <w:spacing w:line="240" w:lineRule="atLeast"/>
        <w:jc w:val="both"/>
        <w:rPr>
          <w:rFonts w:ascii="Verdana" w:hAnsi="Verdana"/>
          <w:sz w:val="18"/>
          <w:szCs w:val="18"/>
        </w:rPr>
      </w:pPr>
      <w:r w:rsidRPr="00EE6807">
        <w:rPr>
          <w:rStyle w:val="Strong"/>
          <w:rFonts w:ascii="Verdana" w:hAnsi="Verdana"/>
          <w:sz w:val="18"/>
          <w:szCs w:val="18"/>
        </w:rPr>
        <w:t xml:space="preserve">Dear </w:t>
      </w:r>
      <w:r w:rsidRPr="00EE6807">
        <w:rPr>
          <w:rStyle w:val="Strong"/>
          <w:rFonts w:ascii="Verdana" w:hAnsi="Verdana"/>
          <w:i/>
          <w:sz w:val="18"/>
          <w:szCs w:val="18"/>
        </w:rPr>
        <w:t>Industrial Law Journal</w:t>
      </w:r>
      <w:r w:rsidRPr="00EE6807">
        <w:rPr>
          <w:rStyle w:val="Strong"/>
          <w:rFonts w:ascii="Verdana" w:hAnsi="Verdana"/>
          <w:sz w:val="18"/>
          <w:szCs w:val="18"/>
        </w:rPr>
        <w:t xml:space="preserve"> Subscriber</w:t>
      </w:r>
    </w:p>
    <w:p w:rsidR="00287E62" w:rsidRPr="00EE6807" w:rsidRDefault="00287E62" w:rsidP="0038565B">
      <w:pPr>
        <w:spacing w:line="240" w:lineRule="atLeast"/>
        <w:jc w:val="both"/>
        <w:rPr>
          <w:rFonts w:ascii="Verdana" w:hAnsi="Verdana"/>
          <w:sz w:val="18"/>
          <w:szCs w:val="18"/>
        </w:rPr>
      </w:pPr>
      <w:r w:rsidRPr="00EE6807">
        <w:rPr>
          <w:rFonts w:ascii="Verdana" w:hAnsi="Verdana"/>
          <w:sz w:val="18"/>
          <w:szCs w:val="18"/>
        </w:rPr>
        <w:t> </w:t>
      </w:r>
    </w:p>
    <w:p w:rsidR="00EE6807" w:rsidRPr="001B4623" w:rsidRDefault="00287E62" w:rsidP="00EE6807">
      <w:pPr>
        <w:spacing w:line="240" w:lineRule="atLeast"/>
        <w:jc w:val="both"/>
        <w:rPr>
          <w:rFonts w:ascii="Verdana" w:hAnsi="Verdana"/>
          <w:sz w:val="18"/>
          <w:szCs w:val="18"/>
        </w:rPr>
      </w:pPr>
      <w:r w:rsidRPr="001B4623">
        <w:rPr>
          <w:rFonts w:ascii="Verdana" w:hAnsi="Verdana"/>
          <w:sz w:val="18"/>
          <w:szCs w:val="18"/>
        </w:rPr>
        <w:t xml:space="preserve">We take pleasure in presenting the </w:t>
      </w:r>
      <w:r w:rsidR="008242B4" w:rsidRPr="001B4623">
        <w:rPr>
          <w:rFonts w:ascii="Verdana" w:hAnsi="Verdana"/>
          <w:sz w:val="18"/>
          <w:szCs w:val="18"/>
        </w:rPr>
        <w:t>April</w:t>
      </w:r>
      <w:r w:rsidR="0042481A" w:rsidRPr="001B4623">
        <w:rPr>
          <w:rFonts w:ascii="Verdana" w:hAnsi="Verdana"/>
          <w:sz w:val="18"/>
          <w:szCs w:val="18"/>
        </w:rPr>
        <w:t xml:space="preserve"> </w:t>
      </w:r>
      <w:r w:rsidRPr="001B4623">
        <w:rPr>
          <w:rFonts w:ascii="Verdana" w:hAnsi="Verdana"/>
          <w:sz w:val="18"/>
          <w:szCs w:val="18"/>
        </w:rPr>
        <w:t>201</w:t>
      </w:r>
      <w:r w:rsidR="0042481A" w:rsidRPr="001B4623">
        <w:rPr>
          <w:rFonts w:ascii="Verdana" w:hAnsi="Verdana"/>
          <w:sz w:val="18"/>
          <w:szCs w:val="18"/>
        </w:rPr>
        <w:t>4</w:t>
      </w:r>
      <w:r w:rsidRPr="001B4623">
        <w:rPr>
          <w:rFonts w:ascii="Verdana" w:hAnsi="Verdana"/>
          <w:sz w:val="18"/>
          <w:szCs w:val="18"/>
        </w:rPr>
        <w:t xml:space="preserve"> issue of the monthly </w:t>
      </w:r>
      <w:r w:rsidRPr="001B4623">
        <w:rPr>
          <w:rStyle w:val="Emphasis"/>
          <w:rFonts w:ascii="Verdana" w:hAnsi="Verdana"/>
          <w:sz w:val="18"/>
          <w:szCs w:val="18"/>
        </w:rPr>
        <w:t>Industrial Law Journal Preview</w:t>
      </w:r>
      <w:r w:rsidRPr="001B4623">
        <w:rPr>
          <w:rFonts w:ascii="Verdana" w:hAnsi="Verdana"/>
          <w:sz w:val="18"/>
          <w:szCs w:val="18"/>
        </w:rPr>
        <w:t xml:space="preserve">, authored by the editors of the </w:t>
      </w:r>
      <w:r w:rsidRPr="001B4623">
        <w:rPr>
          <w:rFonts w:ascii="Verdana" w:hAnsi="Verdana"/>
          <w:i/>
          <w:sz w:val="18"/>
          <w:szCs w:val="18"/>
        </w:rPr>
        <w:t>ILJ</w:t>
      </w:r>
      <w:r w:rsidRPr="001B4623">
        <w:rPr>
          <w:rFonts w:ascii="Verdana" w:hAnsi="Verdana"/>
          <w:sz w:val="18"/>
          <w:szCs w:val="18"/>
        </w:rPr>
        <w:t xml:space="preserve">: C Cooper, C </w:t>
      </w:r>
      <w:proofErr w:type="spellStart"/>
      <w:r w:rsidRPr="001B4623">
        <w:rPr>
          <w:rFonts w:ascii="Verdana" w:hAnsi="Verdana"/>
          <w:sz w:val="18"/>
          <w:szCs w:val="18"/>
        </w:rPr>
        <w:t>Vosloo</w:t>
      </w:r>
      <w:proofErr w:type="spellEnd"/>
      <w:r w:rsidRPr="001B4623">
        <w:rPr>
          <w:rFonts w:ascii="Verdana" w:hAnsi="Verdana"/>
          <w:sz w:val="18"/>
          <w:szCs w:val="18"/>
        </w:rPr>
        <w:t xml:space="preserve"> and L Williams-de Beer. </w:t>
      </w:r>
      <w:r w:rsidR="00EE6807" w:rsidRPr="001B4623">
        <w:rPr>
          <w:rFonts w:ascii="Verdana" w:hAnsi="Verdana"/>
          <w:sz w:val="18"/>
          <w:szCs w:val="18"/>
        </w:rPr>
        <w:t xml:space="preserve"> </w:t>
      </w:r>
    </w:p>
    <w:p w:rsidR="00287E62" w:rsidRPr="001B4623" w:rsidRDefault="00287E62" w:rsidP="0038565B">
      <w:pPr>
        <w:spacing w:line="240" w:lineRule="atLeast"/>
        <w:jc w:val="both"/>
        <w:rPr>
          <w:rFonts w:ascii="Verdana" w:hAnsi="Verdana"/>
          <w:sz w:val="18"/>
          <w:szCs w:val="18"/>
        </w:rPr>
      </w:pPr>
    </w:p>
    <w:p w:rsidR="00287E62" w:rsidRPr="001B4623" w:rsidRDefault="00287E62" w:rsidP="0038565B">
      <w:pPr>
        <w:spacing w:line="240" w:lineRule="atLeast"/>
        <w:jc w:val="both"/>
        <w:rPr>
          <w:rFonts w:ascii="Verdana" w:hAnsi="Verdana"/>
          <w:sz w:val="18"/>
          <w:szCs w:val="18"/>
        </w:rPr>
      </w:pPr>
      <w:r w:rsidRPr="001B4623">
        <w:rPr>
          <w:rStyle w:val="Strong"/>
          <w:rFonts w:ascii="Verdana" w:hAnsi="Verdana"/>
          <w:sz w:val="18"/>
          <w:szCs w:val="18"/>
        </w:rPr>
        <w:t>Please note: </w:t>
      </w:r>
      <w:r w:rsidRPr="001B4623">
        <w:rPr>
          <w:rFonts w:ascii="Verdana" w:hAnsi="Verdana"/>
          <w:sz w:val="18"/>
          <w:szCs w:val="18"/>
        </w:rPr>
        <w:t xml:space="preserve"> </w:t>
      </w:r>
      <w:r w:rsidRPr="001B4623">
        <w:rPr>
          <w:rStyle w:val="Strong"/>
          <w:rFonts w:ascii="Verdana" w:hAnsi="Verdana"/>
          <w:sz w:val="18"/>
          <w:szCs w:val="18"/>
        </w:rPr>
        <w:t xml:space="preserve">This newsletter serves as a preview of the printed and the electronic </w:t>
      </w:r>
      <w:r w:rsidRPr="001B4623">
        <w:rPr>
          <w:rStyle w:val="Emphasis"/>
          <w:rFonts w:ascii="Verdana" w:hAnsi="Verdana"/>
          <w:b/>
          <w:bCs/>
          <w:sz w:val="18"/>
          <w:szCs w:val="18"/>
        </w:rPr>
        <w:t>Industrial Law Journal</w:t>
      </w:r>
      <w:r w:rsidRPr="001B4623">
        <w:rPr>
          <w:rStyle w:val="Strong"/>
          <w:rFonts w:ascii="Verdana" w:hAnsi="Verdana"/>
          <w:sz w:val="18"/>
          <w:szCs w:val="18"/>
        </w:rPr>
        <w:t xml:space="preserve">. At the time of this dissemination, the full-length cases and determinations are still being prepared for publication in the </w:t>
      </w:r>
      <w:r w:rsidRPr="001B4623">
        <w:rPr>
          <w:rStyle w:val="Emphasis"/>
          <w:rFonts w:ascii="Verdana" w:hAnsi="Verdana"/>
          <w:b/>
          <w:bCs/>
          <w:sz w:val="18"/>
          <w:szCs w:val="18"/>
        </w:rPr>
        <w:t>Industrial Law Journal</w:t>
      </w:r>
      <w:r w:rsidRPr="001B4623">
        <w:rPr>
          <w:rStyle w:val="Strong"/>
          <w:rFonts w:ascii="Verdana" w:hAnsi="Verdana"/>
          <w:sz w:val="18"/>
          <w:szCs w:val="18"/>
        </w:rPr>
        <w:t xml:space="preserve">. The material mentioned in this newsletter only becomes available to subscribers when the </w:t>
      </w:r>
      <w:r w:rsidRPr="001B4623">
        <w:rPr>
          <w:rStyle w:val="Emphasis"/>
          <w:rFonts w:ascii="Verdana" w:hAnsi="Verdana"/>
          <w:b/>
          <w:bCs/>
          <w:sz w:val="18"/>
          <w:szCs w:val="18"/>
        </w:rPr>
        <w:t xml:space="preserve">Industrial Law Journal </w:t>
      </w:r>
      <w:r w:rsidRPr="001B4623">
        <w:rPr>
          <w:rStyle w:val="Strong"/>
          <w:rFonts w:ascii="Verdana" w:hAnsi="Verdana"/>
          <w:sz w:val="18"/>
          <w:szCs w:val="18"/>
        </w:rPr>
        <w:t>is published.</w:t>
      </w:r>
    </w:p>
    <w:p w:rsidR="00287E62" w:rsidRPr="001B4623" w:rsidRDefault="00287E62" w:rsidP="0038565B">
      <w:pPr>
        <w:spacing w:line="240" w:lineRule="atLeast"/>
        <w:jc w:val="both"/>
        <w:rPr>
          <w:rFonts w:ascii="Verdana" w:hAnsi="Verdana"/>
          <w:sz w:val="18"/>
          <w:szCs w:val="18"/>
        </w:rPr>
      </w:pPr>
      <w:r w:rsidRPr="001B4623">
        <w:rPr>
          <w:rFonts w:ascii="Verdana" w:hAnsi="Verdana"/>
          <w:sz w:val="18"/>
          <w:szCs w:val="18"/>
        </w:rPr>
        <w:t> </w:t>
      </w:r>
    </w:p>
    <w:p w:rsidR="00287E62" w:rsidRPr="001B4623" w:rsidRDefault="00287E62" w:rsidP="0038565B">
      <w:pPr>
        <w:spacing w:line="240" w:lineRule="atLeast"/>
        <w:jc w:val="both"/>
        <w:rPr>
          <w:rFonts w:ascii="Verdana" w:hAnsi="Verdana"/>
          <w:sz w:val="18"/>
          <w:szCs w:val="18"/>
        </w:rPr>
      </w:pPr>
      <w:r w:rsidRPr="001B4623">
        <w:rPr>
          <w:rFonts w:ascii="Verdana" w:hAnsi="Verdana"/>
          <w:sz w:val="18"/>
          <w:szCs w:val="18"/>
        </w:rPr>
        <w:t xml:space="preserve">Please forward any comments and suggestions regarding the </w:t>
      </w:r>
      <w:r w:rsidRPr="001B4623">
        <w:rPr>
          <w:rFonts w:ascii="Verdana" w:hAnsi="Verdana"/>
          <w:i/>
          <w:sz w:val="18"/>
          <w:szCs w:val="18"/>
        </w:rPr>
        <w:t>Industrial Law Journal</w:t>
      </w:r>
      <w:r w:rsidRPr="001B4623">
        <w:rPr>
          <w:rFonts w:ascii="Verdana" w:hAnsi="Verdana"/>
          <w:sz w:val="18"/>
          <w:szCs w:val="18"/>
        </w:rPr>
        <w:t xml:space="preserve"> preview to the publisher, Anita Kleinsmidt, </w:t>
      </w:r>
      <w:hyperlink r:id="rId8" w:history="1">
        <w:r w:rsidRPr="001B4623">
          <w:rPr>
            <w:rStyle w:val="Hyperlink"/>
            <w:rFonts w:ascii="Verdana" w:hAnsi="Verdana"/>
            <w:sz w:val="18"/>
            <w:szCs w:val="18"/>
          </w:rPr>
          <w:t>akleinsmidt@juta.co.za</w:t>
        </w:r>
      </w:hyperlink>
      <w:r w:rsidRPr="001B4623">
        <w:rPr>
          <w:rFonts w:ascii="Verdana" w:hAnsi="Verdana"/>
          <w:sz w:val="18"/>
          <w:szCs w:val="18"/>
        </w:rPr>
        <w:t> </w:t>
      </w:r>
    </w:p>
    <w:p w:rsidR="00EE6807" w:rsidRPr="001B4623" w:rsidRDefault="00EE6807" w:rsidP="0038565B">
      <w:pPr>
        <w:spacing w:line="240" w:lineRule="atLeast"/>
        <w:jc w:val="both"/>
        <w:rPr>
          <w:rFonts w:ascii="Verdana" w:hAnsi="Verdana"/>
          <w:sz w:val="18"/>
          <w:szCs w:val="18"/>
        </w:rPr>
      </w:pPr>
    </w:p>
    <w:p w:rsidR="00EE6807" w:rsidRPr="001B4623" w:rsidRDefault="00EE6807" w:rsidP="00EE6807">
      <w:pPr>
        <w:spacing w:after="200"/>
        <w:rPr>
          <w:rFonts w:ascii="Verdana" w:hAnsi="Verdana"/>
          <w:b/>
          <w:sz w:val="18"/>
          <w:szCs w:val="18"/>
        </w:rPr>
      </w:pPr>
      <w:r w:rsidRPr="001B4623">
        <w:rPr>
          <w:rFonts w:ascii="Verdana" w:hAnsi="Verdana" w:cs="Arial"/>
          <w:b/>
          <w:i/>
          <w:sz w:val="18"/>
          <w:szCs w:val="18"/>
          <w:lang w:eastAsia="en-ZA"/>
        </w:rPr>
        <w:t xml:space="preserve">Legalbrief Workplace – weekly Juta current awareness email service </w:t>
      </w:r>
    </w:p>
    <w:p w:rsidR="00EE6807" w:rsidRPr="001B4623" w:rsidRDefault="00EE6807" w:rsidP="00EE6807">
      <w:pPr>
        <w:spacing w:after="200" w:line="240" w:lineRule="atLeast"/>
        <w:jc w:val="both"/>
        <w:rPr>
          <w:rFonts w:ascii="Verdana" w:hAnsi="Verdana"/>
          <w:sz w:val="18"/>
          <w:szCs w:val="18"/>
        </w:rPr>
      </w:pPr>
      <w:r w:rsidRPr="001B4623">
        <w:rPr>
          <w:rFonts w:ascii="Verdana" w:hAnsi="Verdana"/>
          <w:i/>
          <w:sz w:val="18"/>
          <w:szCs w:val="18"/>
        </w:rPr>
        <w:t>Legalbrief Workplace</w:t>
      </w:r>
      <w:r w:rsidRPr="001B4623">
        <w:rPr>
          <w:rFonts w:ascii="Verdana" w:hAnsi="Verdana"/>
          <w:sz w:val="18"/>
          <w:szCs w:val="18"/>
        </w:rPr>
        <w:t xml:space="preserve"> provides a concise roundup of a broad sweep of topical news coverage gleaned by our team of seasoned journalists from reputable local and international media sources. Subscribers to this specialist email newsletter will enjoy access to labour-focused news summaries and analysis pieces, latest developments in labour legislation and case law, and relevant parliamentary news drawn from </w:t>
      </w:r>
      <w:r w:rsidRPr="001B4623">
        <w:rPr>
          <w:rFonts w:ascii="Verdana" w:hAnsi="Verdana"/>
          <w:i/>
          <w:sz w:val="18"/>
          <w:szCs w:val="18"/>
        </w:rPr>
        <w:t>Legalbrief Policy Watch</w:t>
      </w:r>
      <w:r w:rsidRPr="001B4623">
        <w:rPr>
          <w:rFonts w:ascii="Verdana" w:hAnsi="Verdana"/>
          <w:sz w:val="18"/>
          <w:szCs w:val="18"/>
        </w:rPr>
        <w:t>. It will prove essential reading to human resource and labour relations practitioners, labour lawyers, CCMA officials, bargaining councils and private arbitrators, labour academics, shop stewards and trade union officials, business leaders and line managers in both government and the private sector responsible for a HR/LR function.</w:t>
      </w:r>
    </w:p>
    <w:p w:rsidR="00EE6807" w:rsidRPr="001B4623" w:rsidRDefault="00EE6807" w:rsidP="00EE6807">
      <w:pPr>
        <w:spacing w:after="200"/>
        <w:rPr>
          <w:rFonts w:ascii="Verdana" w:hAnsi="Verdana"/>
          <w:sz w:val="18"/>
          <w:szCs w:val="18"/>
        </w:rPr>
      </w:pPr>
      <w:r w:rsidRPr="001B4623">
        <w:rPr>
          <w:rFonts w:ascii="Verdana" w:hAnsi="Verdana"/>
          <w:sz w:val="18"/>
          <w:szCs w:val="18"/>
        </w:rPr>
        <w:t xml:space="preserve">For a quotation or to request a free trial or to subscribe please email: </w:t>
      </w:r>
      <w:hyperlink r:id="rId9" w:history="1">
        <w:r w:rsidRPr="001B4623">
          <w:rPr>
            <w:rStyle w:val="Hyperlink"/>
            <w:rFonts w:ascii="Verdana" w:hAnsi="Verdana"/>
            <w:sz w:val="18"/>
            <w:szCs w:val="18"/>
          </w:rPr>
          <w:t>lfaro@juta.co.za</w:t>
        </w:r>
      </w:hyperlink>
      <w:r w:rsidRPr="001B4623">
        <w:rPr>
          <w:rFonts w:ascii="Verdana" w:hAnsi="Verdana"/>
          <w:sz w:val="18"/>
          <w:szCs w:val="18"/>
        </w:rPr>
        <w:t xml:space="preserve"> or visit </w:t>
      </w:r>
      <w:hyperlink r:id="rId10" w:history="1">
        <w:r w:rsidRPr="001B4623">
          <w:rPr>
            <w:rStyle w:val="Hyperlink"/>
            <w:rFonts w:ascii="Verdana" w:hAnsi="Verdana"/>
            <w:sz w:val="18"/>
            <w:szCs w:val="18"/>
          </w:rPr>
          <w:t>www.legalbrief.co.za</w:t>
        </w:r>
      </w:hyperlink>
    </w:p>
    <w:p w:rsidR="00287E62" w:rsidRPr="00EE6807" w:rsidRDefault="00287E62" w:rsidP="0038565B">
      <w:pPr>
        <w:spacing w:line="240" w:lineRule="atLeast"/>
        <w:jc w:val="both"/>
        <w:rPr>
          <w:rStyle w:val="Strong"/>
          <w:rFonts w:ascii="Verdana" w:hAnsi="Verdana"/>
          <w:sz w:val="18"/>
          <w:szCs w:val="18"/>
        </w:rPr>
      </w:pPr>
    </w:p>
    <w:p w:rsidR="00287E62" w:rsidRPr="00EE6807" w:rsidRDefault="00287E62" w:rsidP="0038565B">
      <w:pPr>
        <w:spacing w:line="240" w:lineRule="atLeast"/>
        <w:jc w:val="both"/>
        <w:rPr>
          <w:rFonts w:ascii="Verdana" w:hAnsi="Verdana"/>
          <w:b/>
          <w:sz w:val="18"/>
          <w:szCs w:val="18"/>
        </w:rPr>
      </w:pPr>
      <w:r w:rsidRPr="00EE6807">
        <w:rPr>
          <w:rStyle w:val="Strong"/>
          <w:rFonts w:ascii="Verdana" w:hAnsi="Verdana"/>
          <w:b w:val="0"/>
          <w:sz w:val="18"/>
          <w:szCs w:val="18"/>
        </w:rPr>
        <w:t>We welcome your feedback</w:t>
      </w:r>
    </w:p>
    <w:p w:rsidR="00287E62" w:rsidRPr="009D0BCC" w:rsidRDefault="00287E62" w:rsidP="0038565B">
      <w:pPr>
        <w:spacing w:line="240" w:lineRule="atLeast"/>
        <w:jc w:val="both"/>
        <w:rPr>
          <w:rStyle w:val="Strong"/>
          <w:rFonts w:ascii="Verdana" w:hAnsi="Verdana"/>
          <w:sz w:val="18"/>
          <w:szCs w:val="18"/>
        </w:rPr>
      </w:pPr>
    </w:p>
    <w:p w:rsidR="00287E62" w:rsidRPr="009D0BCC" w:rsidRDefault="00287E62" w:rsidP="0038565B">
      <w:pPr>
        <w:spacing w:line="240" w:lineRule="atLeast"/>
        <w:jc w:val="both"/>
        <w:rPr>
          <w:rStyle w:val="Strong"/>
          <w:rFonts w:ascii="Verdana" w:hAnsi="Verdana"/>
          <w:sz w:val="18"/>
          <w:szCs w:val="18"/>
        </w:rPr>
      </w:pPr>
      <w:r w:rsidRPr="009D0BCC">
        <w:rPr>
          <w:rStyle w:val="Strong"/>
          <w:rFonts w:ascii="Verdana" w:hAnsi="Verdana"/>
          <w:sz w:val="18"/>
          <w:szCs w:val="18"/>
        </w:rPr>
        <w:t>Kind regards</w:t>
      </w:r>
    </w:p>
    <w:p w:rsidR="00287E62" w:rsidRPr="009D0BCC" w:rsidRDefault="00287E62" w:rsidP="0038565B">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F00009" w:rsidRPr="006B12D4" w:rsidRDefault="000B0DB2" w:rsidP="0038565B">
      <w:pPr>
        <w:spacing w:line="240" w:lineRule="atLeast"/>
        <w:jc w:val="both"/>
        <w:rPr>
          <w:rFonts w:ascii="Verdana" w:hAnsi="Verdana" w:cs="Arial"/>
          <w:b/>
          <w:color w:val="31849B"/>
          <w:sz w:val="32"/>
          <w:szCs w:val="32"/>
          <w:lang w:eastAsia="en-ZA"/>
        </w:rPr>
      </w:pPr>
      <w:r w:rsidRPr="009D0BCC">
        <w:rPr>
          <w:rStyle w:val="Strong"/>
          <w:rFonts w:ascii="Verdana" w:hAnsi="Verdana"/>
          <w:sz w:val="18"/>
          <w:szCs w:val="18"/>
        </w:rPr>
        <w:br w:type="page"/>
      </w:r>
      <w:r w:rsidR="00F00009" w:rsidRPr="006B12D4">
        <w:rPr>
          <w:rFonts w:ascii="Verdana" w:hAnsi="Verdana" w:cs="Arial"/>
          <w:b/>
          <w:color w:val="31849B"/>
          <w:sz w:val="32"/>
          <w:szCs w:val="32"/>
          <w:lang w:eastAsia="en-ZA"/>
        </w:rPr>
        <w:lastRenderedPageBreak/>
        <w:t xml:space="preserve">HIGHLIGHTS </w:t>
      </w:r>
      <w:r w:rsidR="0003358C" w:rsidRPr="006B12D4">
        <w:rPr>
          <w:rFonts w:ascii="Verdana" w:hAnsi="Verdana" w:cs="Arial"/>
          <w:b/>
          <w:color w:val="31849B"/>
          <w:sz w:val="32"/>
          <w:szCs w:val="32"/>
          <w:lang w:eastAsia="en-ZA"/>
        </w:rPr>
        <w:t>OF</w:t>
      </w:r>
      <w:r w:rsidR="00F00009" w:rsidRPr="006B12D4">
        <w:rPr>
          <w:rFonts w:ascii="Verdana" w:hAnsi="Verdana" w:cs="Arial"/>
          <w:b/>
          <w:color w:val="31849B"/>
          <w:sz w:val="32"/>
          <w:szCs w:val="32"/>
          <w:lang w:eastAsia="en-ZA"/>
        </w:rPr>
        <w:t xml:space="preserve"> THE INDUSTRIAL LAW REPORTS</w:t>
      </w:r>
    </w:p>
    <w:p w:rsidR="008242B4" w:rsidRPr="008242B4" w:rsidRDefault="008242B4" w:rsidP="008242B4">
      <w:pPr>
        <w:autoSpaceDE w:val="0"/>
        <w:autoSpaceDN w:val="0"/>
        <w:adjustRightInd w:val="0"/>
        <w:rPr>
          <w:rFonts w:ascii="Helvetica LT Std" w:hAnsi="Helvetica LT Std" w:cs="Helvetica LT Std"/>
          <w:color w:val="000000"/>
          <w:szCs w:val="24"/>
        </w:rPr>
      </w:pPr>
    </w:p>
    <w:p w:rsidR="008242B4" w:rsidRPr="001B4623" w:rsidRDefault="008242B4" w:rsidP="008242B4">
      <w:pPr>
        <w:autoSpaceDE w:val="0"/>
        <w:autoSpaceDN w:val="0"/>
        <w:adjustRightInd w:val="0"/>
        <w:spacing w:before="220" w:after="100" w:line="221" w:lineRule="atLeast"/>
        <w:rPr>
          <w:rFonts w:ascii="Verdana" w:hAnsi="Verdana"/>
          <w:b/>
          <w:color w:val="221E1F"/>
          <w:sz w:val="18"/>
          <w:szCs w:val="18"/>
        </w:rPr>
      </w:pPr>
      <w:r w:rsidRPr="001B4623">
        <w:rPr>
          <w:rFonts w:ascii="Verdana" w:hAnsi="Verdana"/>
          <w:b/>
          <w:color w:val="221E1F"/>
          <w:sz w:val="18"/>
          <w:szCs w:val="18"/>
        </w:rPr>
        <w:t>Process, Outcome and ‘</w:t>
      </w:r>
      <w:proofErr w:type="spellStart"/>
      <w:r w:rsidRPr="001B4623">
        <w:rPr>
          <w:rFonts w:ascii="Verdana" w:hAnsi="Verdana"/>
          <w:b/>
          <w:color w:val="221E1F"/>
          <w:sz w:val="18"/>
          <w:szCs w:val="18"/>
        </w:rPr>
        <w:t>Sidumo</w:t>
      </w:r>
      <w:proofErr w:type="spellEnd"/>
      <w:r w:rsidRPr="001B4623">
        <w:rPr>
          <w:rFonts w:ascii="Verdana" w:hAnsi="Verdana"/>
          <w:b/>
          <w:color w:val="221E1F"/>
          <w:sz w:val="18"/>
          <w:szCs w:val="18"/>
        </w:rPr>
        <w:t xml:space="preserve">’ — </w:t>
      </w:r>
      <w:proofErr w:type="gramStart"/>
      <w:r w:rsidRPr="001B4623">
        <w:rPr>
          <w:rFonts w:ascii="Verdana" w:hAnsi="Verdana"/>
          <w:b/>
          <w:color w:val="221E1F"/>
          <w:sz w:val="18"/>
          <w:szCs w:val="18"/>
        </w:rPr>
        <w:t>The</w:t>
      </w:r>
      <w:proofErr w:type="gramEnd"/>
      <w:r w:rsidRPr="001B4623">
        <w:rPr>
          <w:rFonts w:ascii="Verdana" w:hAnsi="Verdana"/>
          <w:b/>
          <w:color w:val="221E1F"/>
          <w:sz w:val="18"/>
          <w:szCs w:val="18"/>
        </w:rPr>
        <w:t xml:space="preserve"> Test for Review</w:t>
      </w:r>
    </w:p>
    <w:p w:rsidR="008242B4" w:rsidRPr="001B4623" w:rsidRDefault="008242B4" w:rsidP="008242B4">
      <w:pPr>
        <w:autoSpaceDE w:val="0"/>
        <w:autoSpaceDN w:val="0"/>
        <w:adjustRightInd w:val="0"/>
        <w:spacing w:line="211" w:lineRule="atLeast"/>
        <w:jc w:val="both"/>
        <w:rPr>
          <w:rFonts w:ascii="Verdana" w:hAnsi="Verdana" w:cs="Bembo Std"/>
          <w:color w:val="221E1F"/>
          <w:sz w:val="18"/>
          <w:szCs w:val="18"/>
        </w:rPr>
      </w:pPr>
      <w:r w:rsidRPr="001B4623">
        <w:rPr>
          <w:rFonts w:ascii="Verdana" w:hAnsi="Verdana" w:cs="Bembo Std"/>
          <w:color w:val="221E1F"/>
          <w:sz w:val="18"/>
          <w:szCs w:val="18"/>
        </w:rPr>
        <w:t xml:space="preserve">Following the judgment of the Supreme Court of Appeal in </w:t>
      </w:r>
      <w:proofErr w:type="spellStart"/>
      <w:r w:rsidRPr="001B4623">
        <w:rPr>
          <w:rFonts w:ascii="Verdana" w:hAnsi="Verdana" w:cs="Bembo Std"/>
          <w:i/>
          <w:iCs/>
          <w:color w:val="221E1F"/>
          <w:sz w:val="18"/>
          <w:szCs w:val="18"/>
        </w:rPr>
        <w:t>Herholdt</w:t>
      </w:r>
      <w:proofErr w:type="spellEnd"/>
      <w:r w:rsidRPr="001B4623">
        <w:rPr>
          <w:rFonts w:ascii="Verdana" w:hAnsi="Verdana" w:cs="Bembo Std"/>
          <w:i/>
          <w:iCs/>
          <w:color w:val="221E1F"/>
          <w:sz w:val="18"/>
          <w:szCs w:val="18"/>
        </w:rPr>
        <w:t xml:space="preserve"> v </w:t>
      </w:r>
      <w:proofErr w:type="spellStart"/>
      <w:r w:rsidRPr="001B4623">
        <w:rPr>
          <w:rFonts w:ascii="Verdana" w:hAnsi="Verdana" w:cs="Bembo Std"/>
          <w:i/>
          <w:iCs/>
          <w:color w:val="221E1F"/>
          <w:sz w:val="18"/>
          <w:szCs w:val="18"/>
        </w:rPr>
        <w:t>Nedbank</w:t>
      </w:r>
      <w:proofErr w:type="spellEnd"/>
      <w:r w:rsidRPr="001B4623">
        <w:rPr>
          <w:rFonts w:ascii="Verdana" w:hAnsi="Verdana" w:cs="Bembo Std"/>
          <w:i/>
          <w:iCs/>
          <w:color w:val="221E1F"/>
          <w:sz w:val="18"/>
          <w:szCs w:val="18"/>
        </w:rPr>
        <w:t xml:space="preserve"> Ltd (Congress of SA Trade Unions as Amicus Curiae) </w:t>
      </w:r>
      <w:r w:rsidRPr="001B4623">
        <w:rPr>
          <w:rFonts w:ascii="Verdana" w:hAnsi="Verdana" w:cs="Bembo Std"/>
          <w:color w:val="221E1F"/>
          <w:sz w:val="18"/>
          <w:szCs w:val="18"/>
        </w:rPr>
        <w:t xml:space="preserve">(2013) 34 </w:t>
      </w:r>
      <w:r w:rsidRPr="001B4623">
        <w:rPr>
          <w:rFonts w:ascii="Verdana" w:hAnsi="Verdana" w:cs="Bembo Std"/>
          <w:i/>
          <w:iCs/>
          <w:color w:val="221E1F"/>
          <w:sz w:val="18"/>
          <w:szCs w:val="18"/>
        </w:rPr>
        <w:t xml:space="preserve">ILJ </w:t>
      </w:r>
      <w:r w:rsidRPr="001B4623">
        <w:rPr>
          <w:rFonts w:ascii="Verdana" w:hAnsi="Verdana" w:cs="Bembo Std"/>
          <w:color w:val="221E1F"/>
          <w:sz w:val="18"/>
          <w:szCs w:val="18"/>
        </w:rPr>
        <w:t xml:space="preserve">2795 (SCA), the </w:t>
      </w:r>
      <w:proofErr w:type="spellStart"/>
      <w:r w:rsidRPr="001B4623">
        <w:rPr>
          <w:rFonts w:ascii="Verdana" w:hAnsi="Verdana" w:cs="Bembo Std"/>
          <w:color w:val="221E1F"/>
          <w:sz w:val="18"/>
          <w:szCs w:val="18"/>
        </w:rPr>
        <w:t>Labour</w:t>
      </w:r>
      <w:proofErr w:type="spellEnd"/>
      <w:r w:rsidRPr="001B4623">
        <w:rPr>
          <w:rFonts w:ascii="Verdana" w:hAnsi="Verdana" w:cs="Bembo Std"/>
          <w:color w:val="221E1F"/>
          <w:sz w:val="18"/>
          <w:szCs w:val="18"/>
        </w:rPr>
        <w:t xml:space="preserve"> Appeal Court has once again in </w:t>
      </w:r>
      <w:r w:rsidRPr="001B4623">
        <w:rPr>
          <w:rFonts w:ascii="Verdana" w:hAnsi="Verdana" w:cs="Bembo Std"/>
          <w:i/>
          <w:iCs/>
          <w:color w:val="221E1F"/>
          <w:sz w:val="18"/>
          <w:szCs w:val="18"/>
        </w:rPr>
        <w:t>Gold Fields Mining (Pty) Ltd (</w:t>
      </w:r>
      <w:proofErr w:type="spellStart"/>
      <w:r w:rsidRPr="001B4623">
        <w:rPr>
          <w:rFonts w:ascii="Verdana" w:hAnsi="Verdana" w:cs="Bembo Std"/>
          <w:i/>
          <w:iCs/>
          <w:color w:val="221E1F"/>
          <w:sz w:val="18"/>
          <w:szCs w:val="18"/>
        </w:rPr>
        <w:t>Kloof</w:t>
      </w:r>
      <w:proofErr w:type="spellEnd"/>
      <w:r w:rsidRPr="001B4623">
        <w:rPr>
          <w:rFonts w:ascii="Verdana" w:hAnsi="Verdana" w:cs="Bembo Std"/>
          <w:i/>
          <w:iCs/>
          <w:color w:val="221E1F"/>
          <w:sz w:val="18"/>
          <w:szCs w:val="18"/>
        </w:rPr>
        <w:t xml:space="preserve"> Gold Mine) v Commission for Conciliation, Mediation &amp; Arbitration &amp; others </w:t>
      </w:r>
      <w:r w:rsidRPr="001B4623">
        <w:rPr>
          <w:rFonts w:ascii="Verdana" w:hAnsi="Verdana" w:cs="Bembo Std"/>
          <w:color w:val="221E1F"/>
          <w:sz w:val="18"/>
          <w:szCs w:val="18"/>
        </w:rPr>
        <w:t xml:space="preserve"> considered the appropriate test for the review of arbitration awards and has emphasized that a review sought on so-called ‘process related’ grounds is not to be regarded as a different species of review to that postulated in </w:t>
      </w:r>
      <w:proofErr w:type="spellStart"/>
      <w:r w:rsidRPr="001B4623">
        <w:rPr>
          <w:rFonts w:ascii="Verdana" w:hAnsi="Verdana" w:cs="Bembo Std"/>
          <w:i/>
          <w:iCs/>
          <w:color w:val="221E1F"/>
          <w:sz w:val="18"/>
          <w:szCs w:val="18"/>
        </w:rPr>
        <w:t>Sidumo</w:t>
      </w:r>
      <w:proofErr w:type="spellEnd"/>
      <w:r w:rsidRPr="001B4623">
        <w:rPr>
          <w:rFonts w:ascii="Verdana" w:hAnsi="Verdana" w:cs="Bembo Std"/>
          <w:color w:val="221E1F"/>
          <w:sz w:val="18"/>
          <w:szCs w:val="18"/>
        </w:rPr>
        <w:t>, rendering an award reviewable without regard to the outcome. A piecemeal approach to such reviews is improper as the reviewing court must necessarily consider the totality of the evidence and then decide whether the commissioner’s decision was one that a reasonable decision maker could make. The court posed five questions that a reviewing court should ask itself when determining the matter. In the appeal before it the commissioner had wrongly concluded that an employee had been dismissed for poor performance, when he had in fact been dismissed for misconduct. The LAC found that this clearly amounted to a gross irregularity in the conduct of the proceedings, but then asked whether, as a result of that categorization, the commissioner’s decision was one that could be arrived at by a reasonable decision maker. Finding that it could not, the court set the decision aside.</w:t>
      </w:r>
    </w:p>
    <w:p w:rsidR="008242B4" w:rsidRPr="001B4623" w:rsidRDefault="008242B4" w:rsidP="008242B4">
      <w:pPr>
        <w:autoSpaceDE w:val="0"/>
        <w:autoSpaceDN w:val="0"/>
        <w:adjustRightInd w:val="0"/>
        <w:spacing w:before="220" w:after="100" w:line="221" w:lineRule="atLeast"/>
        <w:rPr>
          <w:rFonts w:ascii="Verdana" w:hAnsi="Verdana" w:cs="Helvetica LT Std"/>
          <w:b/>
          <w:color w:val="221E1F"/>
          <w:sz w:val="18"/>
          <w:szCs w:val="18"/>
        </w:rPr>
      </w:pPr>
      <w:r w:rsidRPr="001B4623">
        <w:rPr>
          <w:rFonts w:ascii="Verdana" w:hAnsi="Verdana" w:cs="Helvetica LT Std"/>
          <w:b/>
          <w:color w:val="221E1F"/>
          <w:sz w:val="18"/>
          <w:szCs w:val="18"/>
        </w:rPr>
        <w:t xml:space="preserve">Powers of the </w:t>
      </w:r>
      <w:proofErr w:type="spellStart"/>
      <w:r w:rsidRPr="001B4623">
        <w:rPr>
          <w:rFonts w:ascii="Verdana" w:hAnsi="Verdana" w:cs="Helvetica LT Std"/>
          <w:b/>
          <w:color w:val="221E1F"/>
          <w:sz w:val="18"/>
          <w:szCs w:val="18"/>
        </w:rPr>
        <w:t>Labour</w:t>
      </w:r>
      <w:proofErr w:type="spellEnd"/>
      <w:r w:rsidRPr="001B4623">
        <w:rPr>
          <w:rFonts w:ascii="Verdana" w:hAnsi="Verdana" w:cs="Helvetica LT Std"/>
          <w:b/>
          <w:color w:val="221E1F"/>
          <w:sz w:val="18"/>
          <w:szCs w:val="18"/>
        </w:rPr>
        <w:t xml:space="preserve"> Appeal Court</w:t>
      </w:r>
    </w:p>
    <w:p w:rsidR="008242B4" w:rsidRPr="001B4623" w:rsidRDefault="008242B4" w:rsidP="008242B4">
      <w:pPr>
        <w:autoSpaceDE w:val="0"/>
        <w:autoSpaceDN w:val="0"/>
        <w:adjustRightInd w:val="0"/>
        <w:spacing w:line="211" w:lineRule="atLeast"/>
        <w:jc w:val="both"/>
        <w:rPr>
          <w:rFonts w:ascii="Verdana" w:hAnsi="Verdana" w:cs="Bembo Std"/>
          <w:color w:val="221E1F"/>
          <w:sz w:val="18"/>
          <w:szCs w:val="18"/>
        </w:rPr>
      </w:pPr>
      <w:r w:rsidRPr="001B4623">
        <w:rPr>
          <w:rFonts w:ascii="Verdana" w:hAnsi="Verdana" w:cs="Bembo Std"/>
          <w:color w:val="221E1F"/>
          <w:sz w:val="18"/>
          <w:szCs w:val="18"/>
        </w:rPr>
        <w:t xml:space="preserve">In </w:t>
      </w:r>
      <w:r w:rsidRPr="001B4623">
        <w:rPr>
          <w:rFonts w:ascii="Verdana" w:hAnsi="Verdana" w:cs="Bembo Std"/>
          <w:i/>
          <w:iCs/>
          <w:color w:val="221E1F"/>
          <w:sz w:val="18"/>
          <w:szCs w:val="18"/>
        </w:rPr>
        <w:t xml:space="preserve">National Union of Metalworkers of SA on behalf of </w:t>
      </w:r>
      <w:proofErr w:type="spellStart"/>
      <w:r w:rsidRPr="001B4623">
        <w:rPr>
          <w:rFonts w:ascii="Verdana" w:hAnsi="Verdana" w:cs="Bembo Std"/>
          <w:i/>
          <w:iCs/>
          <w:color w:val="221E1F"/>
          <w:sz w:val="18"/>
          <w:szCs w:val="18"/>
        </w:rPr>
        <w:t>Sinuko</w:t>
      </w:r>
      <w:proofErr w:type="spellEnd"/>
      <w:r w:rsidRPr="001B4623">
        <w:rPr>
          <w:rFonts w:ascii="Verdana" w:hAnsi="Verdana" w:cs="Bembo Std"/>
          <w:i/>
          <w:iCs/>
          <w:color w:val="221E1F"/>
          <w:sz w:val="18"/>
          <w:szCs w:val="18"/>
        </w:rPr>
        <w:t xml:space="preserve"> v </w:t>
      </w:r>
      <w:proofErr w:type="spellStart"/>
      <w:r w:rsidRPr="001B4623">
        <w:rPr>
          <w:rFonts w:ascii="Verdana" w:hAnsi="Verdana" w:cs="Bembo Std"/>
          <w:i/>
          <w:iCs/>
          <w:color w:val="221E1F"/>
          <w:sz w:val="18"/>
          <w:szCs w:val="18"/>
        </w:rPr>
        <w:t>Powertech</w:t>
      </w:r>
      <w:proofErr w:type="spellEnd"/>
      <w:r w:rsidRPr="001B4623">
        <w:rPr>
          <w:rFonts w:ascii="Verdana" w:hAnsi="Verdana" w:cs="Bembo Std"/>
          <w:i/>
          <w:iCs/>
          <w:color w:val="221E1F"/>
          <w:sz w:val="18"/>
          <w:szCs w:val="18"/>
        </w:rPr>
        <w:t xml:space="preserve"> Transformers (DPM) &amp; other</w:t>
      </w:r>
      <w:r w:rsidR="001B4623">
        <w:rPr>
          <w:rFonts w:ascii="Verdana" w:hAnsi="Verdana" w:cs="Bembo Std"/>
          <w:i/>
          <w:iCs/>
          <w:color w:val="221E1F"/>
          <w:sz w:val="18"/>
          <w:szCs w:val="18"/>
        </w:rPr>
        <w:t>s,</w:t>
      </w:r>
      <w:r w:rsidRPr="001B4623">
        <w:rPr>
          <w:rFonts w:ascii="Verdana" w:hAnsi="Verdana" w:cs="Bembo Std"/>
          <w:color w:val="221E1F"/>
          <w:sz w:val="18"/>
          <w:szCs w:val="18"/>
        </w:rPr>
        <w:t xml:space="preserve"> the </w:t>
      </w:r>
      <w:proofErr w:type="spellStart"/>
      <w:r w:rsidRPr="001B4623">
        <w:rPr>
          <w:rFonts w:ascii="Verdana" w:hAnsi="Verdana" w:cs="Bembo Std"/>
          <w:color w:val="221E1F"/>
          <w:sz w:val="18"/>
          <w:szCs w:val="18"/>
        </w:rPr>
        <w:t>Labour</w:t>
      </w:r>
      <w:proofErr w:type="spellEnd"/>
      <w:r w:rsidRPr="001B4623">
        <w:rPr>
          <w:rFonts w:ascii="Verdana" w:hAnsi="Verdana" w:cs="Bembo Std"/>
          <w:color w:val="221E1F"/>
          <w:sz w:val="18"/>
          <w:szCs w:val="18"/>
        </w:rPr>
        <w:t xml:space="preserve"> Court had reviewed and set aside an award, relying on only one of several grounds of review raised by the respondent. On appeal the LAC found that ground of review to be incorrect, but then considered whether it could determine the other grounds raised in the court below but not determined, or whether it had to remit the matter to the </w:t>
      </w:r>
      <w:proofErr w:type="spellStart"/>
      <w:r w:rsidRPr="001B4623">
        <w:rPr>
          <w:rFonts w:ascii="Verdana" w:hAnsi="Verdana" w:cs="Bembo Std"/>
          <w:color w:val="221E1F"/>
          <w:sz w:val="18"/>
          <w:szCs w:val="18"/>
        </w:rPr>
        <w:t>Labour</w:t>
      </w:r>
      <w:proofErr w:type="spellEnd"/>
      <w:r w:rsidRPr="001B4623">
        <w:rPr>
          <w:rFonts w:ascii="Verdana" w:hAnsi="Verdana" w:cs="Bembo Std"/>
          <w:color w:val="221E1F"/>
          <w:sz w:val="18"/>
          <w:szCs w:val="18"/>
        </w:rPr>
        <w:t xml:space="preserve"> Court. The LAC doubted the correctness of the approach adopted by the SCA in </w:t>
      </w:r>
      <w:r w:rsidRPr="001B4623">
        <w:rPr>
          <w:rFonts w:ascii="Verdana" w:hAnsi="Verdana" w:cs="Bembo Std"/>
          <w:i/>
          <w:iCs/>
          <w:color w:val="221E1F"/>
          <w:sz w:val="18"/>
          <w:szCs w:val="18"/>
        </w:rPr>
        <w:t xml:space="preserve">Shoprite Checkers (Pty) Ltd v Commission for Conciliation, Mediation &amp; Arbitration &amp; others </w:t>
      </w:r>
      <w:r w:rsidRPr="001B4623">
        <w:rPr>
          <w:rFonts w:ascii="Verdana" w:hAnsi="Verdana" w:cs="Bembo Std"/>
          <w:color w:val="221E1F"/>
          <w:sz w:val="18"/>
          <w:szCs w:val="18"/>
        </w:rPr>
        <w:t xml:space="preserve">(2009) 30 </w:t>
      </w:r>
      <w:r w:rsidRPr="001B4623">
        <w:rPr>
          <w:rFonts w:ascii="Verdana" w:hAnsi="Verdana" w:cs="Bembo Std"/>
          <w:i/>
          <w:iCs/>
          <w:color w:val="221E1F"/>
          <w:sz w:val="18"/>
          <w:szCs w:val="18"/>
        </w:rPr>
        <w:t xml:space="preserve">ILJ </w:t>
      </w:r>
      <w:r w:rsidRPr="001B4623">
        <w:rPr>
          <w:rFonts w:ascii="Verdana" w:hAnsi="Verdana" w:cs="Bembo Std"/>
          <w:color w:val="221E1F"/>
          <w:sz w:val="18"/>
          <w:szCs w:val="18"/>
        </w:rPr>
        <w:t>829 (SCA) and found its statutory powers on appeal to be similar to those of the SCA, and that it had power in terms of s 174</w:t>
      </w:r>
      <w:r w:rsidRPr="001B4623">
        <w:rPr>
          <w:rFonts w:ascii="Verdana" w:hAnsi="Verdana" w:cs="Bembo Std"/>
          <w:i/>
          <w:iCs/>
          <w:color w:val="221E1F"/>
          <w:sz w:val="18"/>
          <w:szCs w:val="18"/>
        </w:rPr>
        <w:t xml:space="preserve">(b) </w:t>
      </w:r>
      <w:r w:rsidRPr="001B4623">
        <w:rPr>
          <w:rFonts w:ascii="Verdana" w:hAnsi="Verdana" w:cs="Bembo Std"/>
          <w:color w:val="221E1F"/>
          <w:sz w:val="18"/>
          <w:szCs w:val="18"/>
        </w:rPr>
        <w:t>of the LRA to determine matters that should normally be remitted to the trial court where special circumstances necessitated this. As remittal would compound an already inordinate delay in finalizing the matter before it, the court itself considered and dismissed the other grounds of review.</w:t>
      </w:r>
    </w:p>
    <w:p w:rsidR="008242B4" w:rsidRPr="001B4623" w:rsidRDefault="008242B4" w:rsidP="008242B4">
      <w:pPr>
        <w:autoSpaceDE w:val="0"/>
        <w:autoSpaceDN w:val="0"/>
        <w:adjustRightInd w:val="0"/>
        <w:spacing w:before="220" w:after="100" w:line="221" w:lineRule="atLeast"/>
        <w:rPr>
          <w:rFonts w:ascii="Verdana" w:hAnsi="Verdana" w:cs="Helvetica LT Std"/>
          <w:b/>
          <w:color w:val="221E1F"/>
          <w:sz w:val="18"/>
          <w:szCs w:val="18"/>
        </w:rPr>
      </w:pPr>
      <w:r w:rsidRPr="001B4623">
        <w:rPr>
          <w:rFonts w:ascii="Verdana" w:hAnsi="Verdana" w:cs="Helvetica LT Std"/>
          <w:b/>
          <w:color w:val="221E1F"/>
          <w:sz w:val="18"/>
          <w:szCs w:val="18"/>
        </w:rPr>
        <w:t>Strike Action — Lawfulness of Demand</w:t>
      </w:r>
    </w:p>
    <w:p w:rsidR="008242B4" w:rsidRPr="001B4623" w:rsidRDefault="008242B4" w:rsidP="008242B4">
      <w:pPr>
        <w:autoSpaceDE w:val="0"/>
        <w:autoSpaceDN w:val="0"/>
        <w:adjustRightInd w:val="0"/>
        <w:spacing w:line="211" w:lineRule="atLeast"/>
        <w:jc w:val="both"/>
        <w:rPr>
          <w:rFonts w:ascii="Verdana" w:hAnsi="Verdana" w:cs="Bembo Std"/>
          <w:color w:val="221E1F"/>
          <w:sz w:val="18"/>
          <w:szCs w:val="18"/>
        </w:rPr>
      </w:pPr>
      <w:r w:rsidRPr="001B4623">
        <w:rPr>
          <w:rFonts w:ascii="Verdana" w:hAnsi="Verdana" w:cs="Bembo Std"/>
          <w:color w:val="221E1F"/>
          <w:sz w:val="18"/>
          <w:szCs w:val="18"/>
        </w:rPr>
        <w:t xml:space="preserve">In </w:t>
      </w:r>
      <w:proofErr w:type="spellStart"/>
      <w:r w:rsidRPr="001B4623">
        <w:rPr>
          <w:rFonts w:ascii="Verdana" w:hAnsi="Verdana" w:cs="Bembo Std"/>
          <w:i/>
          <w:iCs/>
          <w:color w:val="221E1F"/>
          <w:sz w:val="18"/>
          <w:szCs w:val="18"/>
        </w:rPr>
        <w:t>Pikitup</w:t>
      </w:r>
      <w:proofErr w:type="spellEnd"/>
      <w:r w:rsidRPr="001B4623">
        <w:rPr>
          <w:rFonts w:ascii="Verdana" w:hAnsi="Verdana" w:cs="Bembo Std"/>
          <w:i/>
          <w:iCs/>
          <w:color w:val="221E1F"/>
          <w:sz w:val="18"/>
          <w:szCs w:val="18"/>
        </w:rPr>
        <w:t xml:space="preserve"> (SOC) Ltd v SA Municipal Workers Union on behalf of Members &amp; others</w:t>
      </w:r>
      <w:r w:rsidRPr="001B4623">
        <w:rPr>
          <w:rFonts w:ascii="Verdana" w:hAnsi="Verdana" w:cs="Bembo Std"/>
          <w:color w:val="221E1F"/>
          <w:sz w:val="18"/>
          <w:szCs w:val="18"/>
        </w:rPr>
        <w:t xml:space="preserve"> the employees of a company providing waste management services to the City of Johannesburg objected to the imposition of mandatory breathalyzer testing of drivers before they received the keys of their trucks, demanded that these measures be prohibited, and gave notice of strike action in accordance with s 64(1</w:t>
      </w:r>
      <w:proofErr w:type="gramStart"/>
      <w:r w:rsidRPr="001B4623">
        <w:rPr>
          <w:rFonts w:ascii="Verdana" w:hAnsi="Verdana" w:cs="Bembo Std"/>
          <w:color w:val="221E1F"/>
          <w:sz w:val="18"/>
          <w:szCs w:val="18"/>
        </w:rPr>
        <w:t>)</w:t>
      </w:r>
      <w:r w:rsidRPr="001B4623">
        <w:rPr>
          <w:rFonts w:ascii="Verdana" w:hAnsi="Verdana" w:cs="Bembo Std"/>
          <w:i/>
          <w:iCs/>
          <w:color w:val="221E1F"/>
          <w:sz w:val="18"/>
          <w:szCs w:val="18"/>
        </w:rPr>
        <w:t>(</w:t>
      </w:r>
      <w:proofErr w:type="gramEnd"/>
      <w:r w:rsidRPr="001B4623">
        <w:rPr>
          <w:rFonts w:ascii="Verdana" w:hAnsi="Verdana" w:cs="Bembo Std"/>
          <w:i/>
          <w:iCs/>
          <w:color w:val="221E1F"/>
          <w:sz w:val="18"/>
          <w:szCs w:val="18"/>
        </w:rPr>
        <w:t xml:space="preserve">b) </w:t>
      </w:r>
      <w:r w:rsidRPr="001B4623">
        <w:rPr>
          <w:rFonts w:ascii="Verdana" w:hAnsi="Verdana" w:cs="Bembo Std"/>
          <w:color w:val="221E1F"/>
          <w:sz w:val="18"/>
          <w:szCs w:val="18"/>
        </w:rPr>
        <w:t xml:space="preserve">of the LRA on the issue. The </w:t>
      </w:r>
      <w:proofErr w:type="spellStart"/>
      <w:r w:rsidRPr="001B4623">
        <w:rPr>
          <w:rFonts w:ascii="Verdana" w:hAnsi="Verdana" w:cs="Bembo Std"/>
          <w:color w:val="221E1F"/>
          <w:sz w:val="18"/>
          <w:szCs w:val="18"/>
        </w:rPr>
        <w:t>Labour</w:t>
      </w:r>
      <w:proofErr w:type="spellEnd"/>
      <w:r w:rsidRPr="001B4623">
        <w:rPr>
          <w:rFonts w:ascii="Verdana" w:hAnsi="Verdana" w:cs="Bembo Std"/>
          <w:color w:val="221E1F"/>
          <w:sz w:val="18"/>
          <w:szCs w:val="18"/>
        </w:rPr>
        <w:t xml:space="preserve"> Court had found that the demand was not unlawful but that the matter fell within management’s prerogative and granted the employer an interim interdict to prevent the strike (see (2014) 35 </w:t>
      </w:r>
      <w:r w:rsidRPr="001B4623">
        <w:rPr>
          <w:rFonts w:ascii="Verdana" w:hAnsi="Verdana" w:cs="Bembo Std"/>
          <w:i/>
          <w:iCs/>
          <w:color w:val="221E1F"/>
          <w:sz w:val="18"/>
          <w:szCs w:val="18"/>
        </w:rPr>
        <w:t xml:space="preserve">ILJ </w:t>
      </w:r>
      <w:r w:rsidRPr="001B4623">
        <w:rPr>
          <w:rFonts w:ascii="Verdana" w:hAnsi="Verdana" w:cs="Bembo Std"/>
          <w:color w:val="221E1F"/>
          <w:sz w:val="18"/>
          <w:szCs w:val="18"/>
        </w:rPr>
        <w:t xml:space="preserve">201 (LC)). On the return day a different court found that, although breathalyzer testing fell within the management prerogative, it was nevertheless a matter of mutual interest to both employer and employees on which bargaining could take place, and dismissed the rule nisi (see (2014) 35 </w:t>
      </w:r>
      <w:r w:rsidRPr="001B4623">
        <w:rPr>
          <w:rFonts w:ascii="Verdana" w:hAnsi="Verdana" w:cs="Bembo Std"/>
          <w:i/>
          <w:iCs/>
          <w:color w:val="221E1F"/>
          <w:sz w:val="18"/>
          <w:szCs w:val="18"/>
        </w:rPr>
        <w:t xml:space="preserve">ILJ </w:t>
      </w:r>
      <w:r w:rsidRPr="001B4623">
        <w:rPr>
          <w:rFonts w:ascii="Verdana" w:hAnsi="Verdana" w:cs="Bembo Std"/>
          <w:color w:val="221E1F"/>
          <w:sz w:val="18"/>
          <w:szCs w:val="18"/>
        </w:rPr>
        <w:t xml:space="preserve">224 (LC)). On appeal the </w:t>
      </w:r>
      <w:proofErr w:type="spellStart"/>
      <w:r w:rsidRPr="001B4623">
        <w:rPr>
          <w:rFonts w:ascii="Verdana" w:hAnsi="Verdana" w:cs="Bembo Std"/>
          <w:color w:val="221E1F"/>
          <w:sz w:val="18"/>
          <w:szCs w:val="18"/>
        </w:rPr>
        <w:t>Labour</w:t>
      </w:r>
      <w:proofErr w:type="spellEnd"/>
      <w:r w:rsidRPr="001B4623">
        <w:rPr>
          <w:rFonts w:ascii="Verdana" w:hAnsi="Verdana" w:cs="Bembo Std"/>
          <w:color w:val="221E1F"/>
          <w:sz w:val="18"/>
          <w:szCs w:val="18"/>
        </w:rPr>
        <w:t xml:space="preserve"> Appeal Court was required to consider whether the demand concerned a matter of mutual interest, and also whether it would prevent the employer from complying with its obligations in terms of the Occupational Health and Safety Act 85 of 1993, and so was unlawful. The court found that breathalyzer testing was only one of a range of measures open to an employer to detect alcohol consumption, and therefore not the only ‘reasonably practicable’ way to ensure the safety of its employees and public in terms of the OHSA. The demand was found not to be unlawful and to concern a matter of mutual interest. </w:t>
      </w:r>
    </w:p>
    <w:p w:rsidR="008242B4" w:rsidRPr="001B4623" w:rsidRDefault="008242B4" w:rsidP="008242B4">
      <w:pPr>
        <w:autoSpaceDE w:val="0"/>
        <w:autoSpaceDN w:val="0"/>
        <w:adjustRightInd w:val="0"/>
        <w:spacing w:before="220" w:after="100" w:line="221" w:lineRule="atLeast"/>
        <w:rPr>
          <w:rFonts w:ascii="Verdana" w:hAnsi="Verdana" w:cs="Helvetica LT Std"/>
          <w:b/>
          <w:color w:val="221E1F"/>
          <w:sz w:val="18"/>
          <w:szCs w:val="18"/>
        </w:rPr>
      </w:pPr>
      <w:r>
        <w:rPr>
          <w:rFonts w:ascii="Verdana" w:hAnsi="Verdana" w:cs="Helvetica LT Std"/>
          <w:color w:val="221E1F"/>
          <w:sz w:val="18"/>
          <w:szCs w:val="18"/>
        </w:rPr>
        <w:br w:type="page"/>
      </w:r>
      <w:r w:rsidRPr="001B4623">
        <w:rPr>
          <w:rFonts w:ascii="Verdana" w:hAnsi="Verdana" w:cs="Helvetica LT Std"/>
          <w:b/>
          <w:color w:val="221E1F"/>
          <w:sz w:val="18"/>
          <w:szCs w:val="18"/>
        </w:rPr>
        <w:lastRenderedPageBreak/>
        <w:t>Consultation Prior to Retrenchment</w:t>
      </w:r>
    </w:p>
    <w:p w:rsidR="008242B4" w:rsidRPr="001B4623" w:rsidRDefault="008242B4" w:rsidP="008242B4">
      <w:pPr>
        <w:autoSpaceDE w:val="0"/>
        <w:autoSpaceDN w:val="0"/>
        <w:adjustRightInd w:val="0"/>
        <w:spacing w:line="211" w:lineRule="atLeast"/>
        <w:jc w:val="both"/>
        <w:rPr>
          <w:rFonts w:ascii="Verdana" w:hAnsi="Verdana"/>
          <w:sz w:val="18"/>
          <w:szCs w:val="18"/>
        </w:rPr>
      </w:pPr>
      <w:r w:rsidRPr="001B4623">
        <w:rPr>
          <w:rFonts w:ascii="Verdana" w:hAnsi="Verdana" w:cs="Bembo Std"/>
          <w:color w:val="221E1F"/>
          <w:sz w:val="18"/>
          <w:szCs w:val="18"/>
        </w:rPr>
        <w:t xml:space="preserve">In </w:t>
      </w:r>
      <w:r w:rsidRPr="001B4623">
        <w:rPr>
          <w:rFonts w:ascii="Verdana" w:hAnsi="Verdana" w:cs="Bembo Std"/>
          <w:i/>
          <w:iCs/>
          <w:color w:val="221E1F"/>
          <w:sz w:val="18"/>
          <w:szCs w:val="18"/>
        </w:rPr>
        <w:t>National Union of Mineworkers v Anglo American Platinum Ltd</w:t>
      </w:r>
      <w:r w:rsidRPr="001B4623">
        <w:rPr>
          <w:rFonts w:ascii="Verdana" w:hAnsi="Verdana" w:cs="Bembo Std"/>
          <w:color w:val="221E1F"/>
          <w:sz w:val="18"/>
          <w:szCs w:val="18"/>
        </w:rPr>
        <w:t xml:space="preserve">, which concerned the proposed large-scale retrenchment of mineworkers, the parties engaged in an extensive consultation process over a period of some eight months. When they remained unable to reach consensus the employer finally issued notices of termination of employment. The applicant applied for an urgent order declaring the dismissals to be invalid for want of compliance with s 198 or s 198A of the LRA 1995, and sought the employees’ reinstatement pending the employer’s compliance with a fair consultation procedure. The </w:t>
      </w:r>
      <w:proofErr w:type="spellStart"/>
      <w:r w:rsidRPr="001B4623">
        <w:rPr>
          <w:rFonts w:ascii="Verdana" w:hAnsi="Verdana" w:cs="Bembo Std"/>
          <w:color w:val="221E1F"/>
          <w:sz w:val="18"/>
          <w:szCs w:val="18"/>
        </w:rPr>
        <w:t>Labour</w:t>
      </w:r>
      <w:proofErr w:type="spellEnd"/>
      <w:r w:rsidRPr="001B4623">
        <w:rPr>
          <w:rFonts w:ascii="Verdana" w:hAnsi="Verdana" w:cs="Bembo Std"/>
          <w:color w:val="221E1F"/>
          <w:sz w:val="18"/>
          <w:szCs w:val="18"/>
        </w:rPr>
        <w:t xml:space="preserve"> Court considered the provisions of s 198A(13) and found that it should adopt a holistic approach when </w:t>
      </w:r>
      <w:r w:rsidRPr="001B4623">
        <w:rPr>
          <w:rFonts w:ascii="Verdana" w:hAnsi="Verdana"/>
          <w:sz w:val="18"/>
          <w:szCs w:val="18"/>
        </w:rPr>
        <w:t xml:space="preserve">judging procedural fairness, avoid a mechanical check-list approach to s 189, and ascertain whether the overall purpose of joint consensus-seeking had been achieved. The court found that on the facts before it the union and employees had frustrated the consultation process in an attempt to delay the retrenchments, and concluded that the consultation process had been fair and that the employer was entitled to bring it to an end and to issue retrenchment notices. The provisions of s 52 of the Mineral and Petroleum Resources Development Act 28 of 2002, which require a mine owner to notify the minister that s 189 consultations are taking place in certain circumstances, were not found to be relevant on the facts before the court. </w:t>
      </w:r>
    </w:p>
    <w:p w:rsidR="008242B4" w:rsidRPr="008242B4" w:rsidRDefault="008242B4" w:rsidP="008242B4">
      <w:pPr>
        <w:autoSpaceDE w:val="0"/>
        <w:autoSpaceDN w:val="0"/>
        <w:adjustRightInd w:val="0"/>
        <w:spacing w:before="220" w:after="100" w:line="221" w:lineRule="atLeast"/>
        <w:rPr>
          <w:rFonts w:ascii="Verdana" w:hAnsi="Verdana" w:cs="Helvetica LT Std"/>
          <w:b/>
          <w:sz w:val="18"/>
          <w:szCs w:val="18"/>
        </w:rPr>
      </w:pPr>
      <w:r w:rsidRPr="008242B4">
        <w:rPr>
          <w:rFonts w:ascii="Verdana" w:hAnsi="Verdana" w:cs="Helvetica LT Std"/>
          <w:b/>
          <w:sz w:val="18"/>
          <w:szCs w:val="18"/>
        </w:rPr>
        <w:t>Organizational Rights and Collective Bargaining</w:t>
      </w:r>
    </w:p>
    <w:p w:rsidR="008242B4" w:rsidRPr="001B4623" w:rsidRDefault="008242B4" w:rsidP="008242B4">
      <w:pPr>
        <w:autoSpaceDE w:val="0"/>
        <w:autoSpaceDN w:val="0"/>
        <w:adjustRightInd w:val="0"/>
        <w:spacing w:line="211" w:lineRule="atLeast"/>
        <w:jc w:val="both"/>
        <w:rPr>
          <w:rFonts w:ascii="Verdana" w:hAnsi="Verdana" w:cs="Bembo Std"/>
          <w:sz w:val="18"/>
          <w:szCs w:val="18"/>
        </w:rPr>
      </w:pPr>
      <w:r w:rsidRPr="001B4623">
        <w:rPr>
          <w:rFonts w:ascii="Verdana" w:hAnsi="Verdana" w:cs="Bembo Std"/>
          <w:sz w:val="18"/>
          <w:szCs w:val="18"/>
        </w:rPr>
        <w:t xml:space="preserve">In </w:t>
      </w:r>
      <w:r w:rsidRPr="001B4623">
        <w:rPr>
          <w:rFonts w:ascii="Verdana" w:hAnsi="Verdana" w:cs="Bembo Std"/>
          <w:i/>
          <w:iCs/>
          <w:sz w:val="18"/>
          <w:szCs w:val="18"/>
        </w:rPr>
        <w:t xml:space="preserve">Police &amp; Prisons Civil Right Union v </w:t>
      </w:r>
      <w:proofErr w:type="spellStart"/>
      <w:r w:rsidRPr="001B4623">
        <w:rPr>
          <w:rFonts w:ascii="Verdana" w:hAnsi="Verdana" w:cs="Bembo Std"/>
          <w:i/>
          <w:iCs/>
          <w:sz w:val="18"/>
          <w:szCs w:val="18"/>
        </w:rPr>
        <w:t>Ledwaba</w:t>
      </w:r>
      <w:proofErr w:type="spellEnd"/>
      <w:r w:rsidRPr="001B4623">
        <w:rPr>
          <w:rFonts w:ascii="Verdana" w:hAnsi="Verdana" w:cs="Bembo Std"/>
          <w:i/>
          <w:iCs/>
          <w:sz w:val="18"/>
          <w:szCs w:val="18"/>
        </w:rPr>
        <w:t xml:space="preserve"> NO &amp; others</w:t>
      </w:r>
      <w:r w:rsidR="001B4623" w:rsidRPr="001B4623">
        <w:rPr>
          <w:rFonts w:ascii="Verdana" w:hAnsi="Verdana" w:cs="Bembo Std"/>
          <w:i/>
          <w:iCs/>
          <w:sz w:val="18"/>
          <w:szCs w:val="18"/>
        </w:rPr>
        <w:t xml:space="preserve"> </w:t>
      </w:r>
      <w:r w:rsidRPr="001B4623">
        <w:rPr>
          <w:rFonts w:ascii="Verdana" w:hAnsi="Verdana" w:cs="Bembo Std"/>
          <w:sz w:val="18"/>
          <w:szCs w:val="18"/>
        </w:rPr>
        <w:t xml:space="preserve">an unrecognized minority union had concluded an agreement with the Department of Correctional Services to grant it organizational rights although a majority union, POPCRU, had already concluded several collective agreements with the department. When POPCRU objected and referred a dispute for bargaining council arbitration the arbitrator held that the agreement on organizational rights had been validly concluded. On review the </w:t>
      </w:r>
      <w:proofErr w:type="spellStart"/>
      <w:r w:rsidRPr="001B4623">
        <w:rPr>
          <w:rFonts w:ascii="Verdana" w:hAnsi="Verdana" w:cs="Bembo Std"/>
          <w:sz w:val="18"/>
          <w:szCs w:val="18"/>
        </w:rPr>
        <w:t>Labour</w:t>
      </w:r>
      <w:proofErr w:type="spellEnd"/>
      <w:r w:rsidRPr="001B4623">
        <w:rPr>
          <w:rFonts w:ascii="Verdana" w:hAnsi="Verdana" w:cs="Bembo Std"/>
          <w:sz w:val="18"/>
          <w:szCs w:val="18"/>
        </w:rPr>
        <w:t xml:space="preserve"> Court noted that the process of collective bargaining is made up of organizational rights, the right to strike and the conclusion of collective agreements. As a matter of principle preference must be given to collective agreements with a majority union over organizational rights to which a minority union may be entitled in terms of the LRA. No purpose would be served by affording a minority union such rights where collective agreements already regulate the relationship between the employer and a majority union. The department could therefore not conclude a valid agreement on organizational rights with the minority union.</w:t>
      </w:r>
    </w:p>
    <w:p w:rsidR="008242B4" w:rsidRPr="008242B4" w:rsidRDefault="008242B4" w:rsidP="008242B4">
      <w:pPr>
        <w:autoSpaceDE w:val="0"/>
        <w:autoSpaceDN w:val="0"/>
        <w:adjustRightInd w:val="0"/>
        <w:spacing w:before="220" w:after="100" w:line="221" w:lineRule="atLeast"/>
        <w:rPr>
          <w:rFonts w:ascii="Verdana" w:hAnsi="Verdana" w:cs="Helvetica LT Std"/>
          <w:b/>
          <w:sz w:val="18"/>
          <w:szCs w:val="18"/>
        </w:rPr>
      </w:pPr>
      <w:r w:rsidRPr="008242B4">
        <w:rPr>
          <w:rFonts w:ascii="Verdana" w:hAnsi="Verdana" w:cs="Helvetica LT Std"/>
          <w:b/>
          <w:sz w:val="18"/>
          <w:szCs w:val="18"/>
        </w:rPr>
        <w:t>Temporary Employment Services</w:t>
      </w:r>
    </w:p>
    <w:p w:rsidR="008242B4" w:rsidRPr="001B4623" w:rsidRDefault="008242B4" w:rsidP="008242B4">
      <w:pPr>
        <w:autoSpaceDE w:val="0"/>
        <w:autoSpaceDN w:val="0"/>
        <w:adjustRightInd w:val="0"/>
        <w:spacing w:line="211" w:lineRule="atLeast"/>
        <w:jc w:val="both"/>
        <w:rPr>
          <w:rFonts w:ascii="Verdana" w:hAnsi="Verdana" w:cs="Bembo Std"/>
          <w:sz w:val="18"/>
          <w:szCs w:val="18"/>
        </w:rPr>
      </w:pPr>
      <w:r w:rsidRPr="001B4623">
        <w:rPr>
          <w:rFonts w:ascii="Verdana" w:hAnsi="Verdana" w:cs="Bembo Std"/>
          <w:sz w:val="18"/>
          <w:szCs w:val="18"/>
        </w:rPr>
        <w:t xml:space="preserve">The </w:t>
      </w:r>
      <w:proofErr w:type="spellStart"/>
      <w:r w:rsidRPr="001B4623">
        <w:rPr>
          <w:rFonts w:ascii="Verdana" w:hAnsi="Verdana" w:cs="Bembo Std"/>
          <w:sz w:val="18"/>
          <w:szCs w:val="18"/>
        </w:rPr>
        <w:t>Labour</w:t>
      </w:r>
      <w:proofErr w:type="spellEnd"/>
      <w:r w:rsidRPr="001B4623">
        <w:rPr>
          <w:rFonts w:ascii="Verdana" w:hAnsi="Verdana" w:cs="Bembo Std"/>
          <w:sz w:val="18"/>
          <w:szCs w:val="18"/>
        </w:rPr>
        <w:t xml:space="preserve"> Court in </w:t>
      </w:r>
      <w:proofErr w:type="spellStart"/>
      <w:r w:rsidRPr="001B4623">
        <w:rPr>
          <w:rFonts w:ascii="Verdana" w:hAnsi="Verdana" w:cs="Bembo Std"/>
          <w:i/>
          <w:iCs/>
          <w:sz w:val="18"/>
          <w:szCs w:val="18"/>
        </w:rPr>
        <w:t>Labour</w:t>
      </w:r>
      <w:proofErr w:type="spellEnd"/>
      <w:r w:rsidRPr="001B4623">
        <w:rPr>
          <w:rFonts w:ascii="Verdana" w:hAnsi="Verdana" w:cs="Bembo Std"/>
          <w:i/>
          <w:iCs/>
          <w:sz w:val="18"/>
          <w:szCs w:val="18"/>
        </w:rPr>
        <w:t xml:space="preserve"> Group &amp; others v SA </w:t>
      </w:r>
      <w:proofErr w:type="spellStart"/>
      <w:r w:rsidRPr="001B4623">
        <w:rPr>
          <w:rFonts w:ascii="Verdana" w:hAnsi="Verdana" w:cs="Bembo Std"/>
          <w:i/>
          <w:iCs/>
          <w:sz w:val="18"/>
          <w:szCs w:val="18"/>
        </w:rPr>
        <w:t>Dorper</w:t>
      </w:r>
      <w:proofErr w:type="spellEnd"/>
      <w:r w:rsidRPr="001B4623">
        <w:rPr>
          <w:rFonts w:ascii="Verdana" w:hAnsi="Verdana" w:cs="Bembo Std"/>
          <w:i/>
          <w:iCs/>
          <w:sz w:val="18"/>
          <w:szCs w:val="18"/>
        </w:rPr>
        <w:t xml:space="preserve"> (Pty) Ltd </w:t>
      </w:r>
      <w:r w:rsidRPr="001B4623">
        <w:rPr>
          <w:rFonts w:ascii="Verdana" w:hAnsi="Verdana" w:cs="Bembo Std"/>
          <w:sz w:val="18"/>
          <w:szCs w:val="18"/>
        </w:rPr>
        <w:t xml:space="preserve">found that it lacked jurisdiction to litigate a dispute between a TES and its client concerning the lawfulness of the client’s cancellation of the agreement between them. The court found that s 198 of the LRA 1995, which regulates the relationship between a TES, its employees and the client, cannot be interpreted to include the protection of the commercial rights of the TES and the client in terms of the </w:t>
      </w:r>
      <w:proofErr w:type="spellStart"/>
      <w:r w:rsidRPr="001B4623">
        <w:rPr>
          <w:rFonts w:ascii="Verdana" w:hAnsi="Verdana" w:cs="Bembo Std"/>
          <w:sz w:val="18"/>
          <w:szCs w:val="18"/>
        </w:rPr>
        <w:t>labour</w:t>
      </w:r>
      <w:proofErr w:type="spellEnd"/>
      <w:r w:rsidRPr="001B4623">
        <w:rPr>
          <w:rFonts w:ascii="Verdana" w:hAnsi="Verdana" w:cs="Bembo Std"/>
          <w:sz w:val="18"/>
          <w:szCs w:val="18"/>
        </w:rPr>
        <w:t xml:space="preserve"> broking contract. The court only has jurisdiction where the protection of the interests of the employees is necessary.</w:t>
      </w:r>
    </w:p>
    <w:p w:rsidR="008242B4" w:rsidRPr="008242B4" w:rsidRDefault="008242B4" w:rsidP="008242B4">
      <w:pPr>
        <w:autoSpaceDE w:val="0"/>
        <w:autoSpaceDN w:val="0"/>
        <w:adjustRightInd w:val="0"/>
        <w:spacing w:before="220" w:after="100" w:line="221" w:lineRule="atLeast"/>
        <w:rPr>
          <w:rFonts w:ascii="Verdana" w:hAnsi="Verdana" w:cs="Helvetica LT Std"/>
          <w:b/>
          <w:sz w:val="18"/>
          <w:szCs w:val="18"/>
        </w:rPr>
      </w:pPr>
      <w:r w:rsidRPr="008242B4">
        <w:rPr>
          <w:rFonts w:ascii="Verdana" w:hAnsi="Verdana" w:cs="Helvetica LT Std"/>
          <w:b/>
          <w:sz w:val="18"/>
          <w:szCs w:val="18"/>
        </w:rPr>
        <w:t>Demarcation Disputes</w:t>
      </w:r>
    </w:p>
    <w:p w:rsidR="008242B4" w:rsidRPr="001B4623" w:rsidRDefault="008242B4" w:rsidP="008242B4">
      <w:pPr>
        <w:autoSpaceDE w:val="0"/>
        <w:autoSpaceDN w:val="0"/>
        <w:adjustRightInd w:val="0"/>
        <w:spacing w:line="211" w:lineRule="atLeast"/>
        <w:jc w:val="both"/>
        <w:rPr>
          <w:rFonts w:ascii="Verdana" w:hAnsi="Verdana" w:cs="Bembo Std"/>
          <w:sz w:val="18"/>
          <w:szCs w:val="18"/>
        </w:rPr>
      </w:pPr>
      <w:r w:rsidRPr="001B4623">
        <w:rPr>
          <w:rFonts w:ascii="Verdana" w:hAnsi="Verdana" w:cs="Bembo Std"/>
          <w:sz w:val="18"/>
          <w:szCs w:val="18"/>
        </w:rPr>
        <w:t xml:space="preserve">The arbitrating commissioner in </w:t>
      </w:r>
      <w:proofErr w:type="spellStart"/>
      <w:r w:rsidRPr="001B4623">
        <w:rPr>
          <w:rFonts w:ascii="Verdana" w:hAnsi="Verdana" w:cs="Bembo Std"/>
          <w:i/>
          <w:iCs/>
          <w:sz w:val="18"/>
          <w:szCs w:val="18"/>
        </w:rPr>
        <w:t>Dewdev</w:t>
      </w:r>
      <w:proofErr w:type="spellEnd"/>
      <w:r w:rsidRPr="001B4623">
        <w:rPr>
          <w:rFonts w:ascii="Verdana" w:hAnsi="Verdana" w:cs="Bembo Std"/>
          <w:i/>
          <w:iCs/>
          <w:sz w:val="18"/>
          <w:szCs w:val="18"/>
        </w:rPr>
        <w:t xml:space="preserve"> (Pty) Ltd t/a </w:t>
      </w:r>
      <w:proofErr w:type="spellStart"/>
      <w:r w:rsidRPr="001B4623">
        <w:rPr>
          <w:rFonts w:ascii="Verdana" w:hAnsi="Verdana" w:cs="Bembo Std"/>
          <w:i/>
          <w:iCs/>
          <w:sz w:val="18"/>
          <w:szCs w:val="18"/>
        </w:rPr>
        <w:t>Bulkbag</w:t>
      </w:r>
      <w:proofErr w:type="spellEnd"/>
      <w:r w:rsidRPr="001B4623">
        <w:rPr>
          <w:rFonts w:ascii="Verdana" w:hAnsi="Verdana" w:cs="Bembo Std"/>
          <w:i/>
          <w:iCs/>
          <w:sz w:val="18"/>
          <w:szCs w:val="18"/>
        </w:rPr>
        <w:t xml:space="preserve"> Manufacturers v Bargaining Council for the Canvas Goods Industry, Witwatersrand &amp; Pretoria &amp; others </w:t>
      </w:r>
      <w:r w:rsidRPr="001B4623">
        <w:rPr>
          <w:rFonts w:ascii="Verdana" w:hAnsi="Verdana" w:cs="Bembo Std"/>
          <w:sz w:val="18"/>
          <w:szCs w:val="18"/>
        </w:rPr>
        <w:t xml:space="preserve">had ruled in demarcation proceedings that the manufacture </w:t>
      </w:r>
      <w:r w:rsidRPr="001B4623">
        <w:rPr>
          <w:rFonts w:ascii="Verdana" w:hAnsi="Verdana"/>
          <w:sz w:val="18"/>
          <w:szCs w:val="18"/>
        </w:rPr>
        <w:t xml:space="preserve">of bulk bags from woven polypropylene (a form of plastic) fell within the registered scope of the canvas goods industry. On review the </w:t>
      </w:r>
      <w:proofErr w:type="spellStart"/>
      <w:r w:rsidRPr="001B4623">
        <w:rPr>
          <w:rFonts w:ascii="Verdana" w:hAnsi="Verdana"/>
          <w:sz w:val="18"/>
          <w:szCs w:val="18"/>
        </w:rPr>
        <w:t>Labour</w:t>
      </w:r>
      <w:proofErr w:type="spellEnd"/>
      <w:r w:rsidRPr="001B4623">
        <w:rPr>
          <w:rFonts w:ascii="Verdana" w:hAnsi="Verdana"/>
          <w:sz w:val="18"/>
          <w:szCs w:val="18"/>
        </w:rPr>
        <w:t xml:space="preserve"> Court considered the approach adopted by earlier review courts and agreed that a demarcation involves considerations of fact, law and social policy, and that deference must be given by the court to the expertise of the commissioner. In demarcation awards a wide range of approaches and outcomes is inevitable, and the court must only interfere where the boundary of reasonableness is crossed. In the case before it the court found that the commissioner’s interpretation of the text of the industry definition was reasonable, and dismissed the application to review. In </w:t>
      </w:r>
      <w:r w:rsidRPr="001B4623">
        <w:rPr>
          <w:rFonts w:ascii="Verdana" w:hAnsi="Verdana" w:cs="Bembo Std"/>
          <w:i/>
          <w:iCs/>
          <w:sz w:val="18"/>
          <w:szCs w:val="18"/>
        </w:rPr>
        <w:t xml:space="preserve">National Textile Bargaining Council v De </w:t>
      </w:r>
      <w:proofErr w:type="spellStart"/>
      <w:r w:rsidRPr="001B4623">
        <w:rPr>
          <w:rFonts w:ascii="Verdana" w:hAnsi="Verdana" w:cs="Bembo Std"/>
          <w:i/>
          <w:iCs/>
          <w:sz w:val="18"/>
          <w:szCs w:val="18"/>
        </w:rPr>
        <w:t>Kock</w:t>
      </w:r>
      <w:proofErr w:type="spellEnd"/>
      <w:r w:rsidRPr="001B4623">
        <w:rPr>
          <w:rFonts w:ascii="Verdana" w:hAnsi="Verdana" w:cs="Bembo Std"/>
          <w:i/>
          <w:iCs/>
          <w:sz w:val="18"/>
          <w:szCs w:val="18"/>
        </w:rPr>
        <w:t xml:space="preserve"> NO &amp; others</w:t>
      </w:r>
      <w:r w:rsidRPr="001B4623">
        <w:rPr>
          <w:rFonts w:ascii="Verdana" w:hAnsi="Verdana" w:cs="Bembo Std"/>
          <w:sz w:val="18"/>
          <w:szCs w:val="18"/>
        </w:rPr>
        <w:t xml:space="preserve">, the </w:t>
      </w:r>
      <w:proofErr w:type="spellStart"/>
      <w:r w:rsidRPr="001B4623">
        <w:rPr>
          <w:rFonts w:ascii="Verdana" w:hAnsi="Verdana" w:cs="Bembo Std"/>
          <w:sz w:val="18"/>
          <w:szCs w:val="18"/>
        </w:rPr>
        <w:t>Labour</w:t>
      </w:r>
      <w:proofErr w:type="spellEnd"/>
      <w:r w:rsidRPr="001B4623">
        <w:rPr>
          <w:rFonts w:ascii="Verdana" w:hAnsi="Verdana" w:cs="Bembo Std"/>
          <w:sz w:val="18"/>
          <w:szCs w:val="18"/>
        </w:rPr>
        <w:t xml:space="preserve"> Court similarly acknowledged that it should show due deference before reviewing a demarcation award. </w:t>
      </w:r>
    </w:p>
    <w:p w:rsidR="008242B4" w:rsidRPr="001B4623" w:rsidRDefault="008242B4" w:rsidP="008242B4">
      <w:pPr>
        <w:autoSpaceDE w:val="0"/>
        <w:autoSpaceDN w:val="0"/>
        <w:adjustRightInd w:val="0"/>
        <w:spacing w:line="211" w:lineRule="atLeast"/>
        <w:jc w:val="both"/>
        <w:rPr>
          <w:rFonts w:ascii="Verdana" w:hAnsi="Verdana" w:cs="Bembo Std"/>
          <w:sz w:val="18"/>
          <w:szCs w:val="18"/>
        </w:rPr>
      </w:pPr>
      <w:r>
        <w:rPr>
          <w:rFonts w:ascii="Verdana" w:hAnsi="Verdana" w:cs="Bembo Std"/>
          <w:sz w:val="18"/>
          <w:szCs w:val="18"/>
        </w:rPr>
        <w:br w:type="page"/>
      </w:r>
      <w:r w:rsidRPr="001B4623">
        <w:rPr>
          <w:rFonts w:ascii="Verdana" w:hAnsi="Verdana" w:cs="Bembo Std"/>
          <w:sz w:val="18"/>
          <w:szCs w:val="18"/>
        </w:rPr>
        <w:lastRenderedPageBreak/>
        <w:t xml:space="preserve">The court held there to be two phases to a demarcation, the first being a mechanical comparison of jobs, and the second a consideration of collective bargaining practices and structures and socio-economic considerations. In this case the court found that the commissioner had failed to engage in the second phase of the enquiry, and set the award aside. </w:t>
      </w:r>
    </w:p>
    <w:p w:rsidR="008242B4" w:rsidRPr="008242B4" w:rsidRDefault="008242B4" w:rsidP="008242B4">
      <w:pPr>
        <w:autoSpaceDE w:val="0"/>
        <w:autoSpaceDN w:val="0"/>
        <w:adjustRightInd w:val="0"/>
        <w:spacing w:before="220" w:after="100" w:line="221" w:lineRule="atLeast"/>
        <w:rPr>
          <w:rFonts w:ascii="Verdana" w:hAnsi="Verdana" w:cs="Helvetica LT Std"/>
          <w:b/>
          <w:sz w:val="18"/>
          <w:szCs w:val="18"/>
        </w:rPr>
      </w:pPr>
      <w:r w:rsidRPr="008242B4">
        <w:rPr>
          <w:rFonts w:ascii="Verdana" w:hAnsi="Verdana" w:cs="Helvetica LT Std"/>
          <w:b/>
          <w:sz w:val="18"/>
          <w:szCs w:val="18"/>
        </w:rPr>
        <w:t>Exemption from Bargaining Council Agreement</w:t>
      </w:r>
    </w:p>
    <w:p w:rsidR="008242B4" w:rsidRPr="001B4623" w:rsidRDefault="008242B4" w:rsidP="008242B4">
      <w:pPr>
        <w:autoSpaceDE w:val="0"/>
        <w:autoSpaceDN w:val="0"/>
        <w:adjustRightInd w:val="0"/>
        <w:spacing w:line="211" w:lineRule="atLeast"/>
        <w:jc w:val="both"/>
        <w:rPr>
          <w:rFonts w:ascii="Verdana" w:hAnsi="Verdana" w:cs="Bembo Std"/>
          <w:sz w:val="18"/>
          <w:szCs w:val="18"/>
        </w:rPr>
      </w:pPr>
      <w:r w:rsidRPr="001B4623">
        <w:rPr>
          <w:rFonts w:ascii="Verdana" w:hAnsi="Verdana" w:cs="Bembo Std"/>
          <w:sz w:val="18"/>
          <w:szCs w:val="18"/>
        </w:rPr>
        <w:t xml:space="preserve">The respondent bargaining council in </w:t>
      </w:r>
      <w:r w:rsidRPr="001B4623">
        <w:rPr>
          <w:rFonts w:ascii="Verdana" w:hAnsi="Verdana" w:cs="Bembo Std"/>
          <w:i/>
          <w:iCs/>
          <w:sz w:val="18"/>
          <w:szCs w:val="18"/>
        </w:rPr>
        <w:t>Subaru Pretoria (Pty) Ltd v Motor Industry Bargaining Council &amp; others</w:t>
      </w:r>
      <w:r w:rsidR="001B4623">
        <w:rPr>
          <w:rFonts w:ascii="Verdana" w:hAnsi="Verdana" w:cs="Bembo Std"/>
          <w:i/>
          <w:iCs/>
          <w:sz w:val="18"/>
          <w:szCs w:val="18"/>
        </w:rPr>
        <w:t xml:space="preserve"> </w:t>
      </w:r>
      <w:r w:rsidRPr="001B4623">
        <w:rPr>
          <w:rFonts w:ascii="Verdana" w:hAnsi="Verdana" w:cs="Bembo Std"/>
          <w:sz w:val="18"/>
          <w:szCs w:val="18"/>
        </w:rPr>
        <w:t xml:space="preserve">granted the applicant employer exemption from its provident fund agreement on the understanding that it had an in-house fund that would provide its employees with adequate and suitable alternative retirement benefits. The council did not regard retirement annuity funds as such a suitable alternative. When it transpired that the in-house fund was in fact a retirement annuity fund the council’s exemption committee withdrew the exemption and that decision was upheld on an internal appeal. The applicant sought to review these decisions on the grounds that they were irregular and unreasonable. The </w:t>
      </w:r>
      <w:proofErr w:type="spellStart"/>
      <w:r w:rsidRPr="001B4623">
        <w:rPr>
          <w:rFonts w:ascii="Verdana" w:hAnsi="Verdana" w:cs="Bembo Std"/>
          <w:sz w:val="18"/>
          <w:szCs w:val="18"/>
        </w:rPr>
        <w:t>Labour</w:t>
      </w:r>
      <w:proofErr w:type="spellEnd"/>
      <w:r w:rsidRPr="001B4623">
        <w:rPr>
          <w:rFonts w:ascii="Verdana" w:hAnsi="Verdana" w:cs="Bembo Std"/>
          <w:sz w:val="18"/>
          <w:szCs w:val="18"/>
        </w:rPr>
        <w:t xml:space="preserve"> Court refused to set aside the decision, finding that in principle an official may take an administrative decision with reference to a policy or guideline as long as there is no rigid application of the policy or guideline. In the case before it the council had applied its mind to the matter and had exercised its discretion properly and reasonably.</w:t>
      </w:r>
    </w:p>
    <w:p w:rsidR="008242B4" w:rsidRPr="008242B4" w:rsidRDefault="008242B4" w:rsidP="008242B4">
      <w:pPr>
        <w:autoSpaceDE w:val="0"/>
        <w:autoSpaceDN w:val="0"/>
        <w:adjustRightInd w:val="0"/>
        <w:spacing w:before="220" w:after="100" w:line="221" w:lineRule="atLeast"/>
        <w:rPr>
          <w:rFonts w:ascii="Verdana" w:hAnsi="Verdana" w:cs="Helvetica LT Std"/>
          <w:b/>
          <w:sz w:val="18"/>
          <w:szCs w:val="18"/>
        </w:rPr>
      </w:pPr>
      <w:r w:rsidRPr="008242B4">
        <w:rPr>
          <w:rFonts w:ascii="Verdana" w:hAnsi="Verdana" w:cs="Helvetica LT Std"/>
          <w:b/>
          <w:sz w:val="18"/>
          <w:szCs w:val="18"/>
        </w:rPr>
        <w:t xml:space="preserve">Unfair Dismissal Disputes </w:t>
      </w:r>
    </w:p>
    <w:p w:rsidR="008242B4" w:rsidRPr="001B4623" w:rsidRDefault="008242B4" w:rsidP="008242B4">
      <w:pPr>
        <w:autoSpaceDE w:val="0"/>
        <w:autoSpaceDN w:val="0"/>
        <w:adjustRightInd w:val="0"/>
        <w:spacing w:line="211" w:lineRule="atLeast"/>
        <w:jc w:val="both"/>
        <w:rPr>
          <w:rFonts w:ascii="Verdana" w:hAnsi="Verdana"/>
          <w:sz w:val="18"/>
          <w:szCs w:val="18"/>
        </w:rPr>
      </w:pPr>
      <w:r w:rsidRPr="001B4623">
        <w:rPr>
          <w:rFonts w:ascii="Verdana" w:hAnsi="Verdana" w:cs="Bembo Std"/>
          <w:sz w:val="18"/>
          <w:szCs w:val="18"/>
        </w:rPr>
        <w:t xml:space="preserve">In </w:t>
      </w:r>
      <w:proofErr w:type="spellStart"/>
      <w:r w:rsidRPr="001B4623">
        <w:rPr>
          <w:rFonts w:ascii="Verdana" w:hAnsi="Verdana" w:cs="Bembo Std"/>
          <w:i/>
          <w:iCs/>
          <w:sz w:val="18"/>
          <w:szCs w:val="18"/>
        </w:rPr>
        <w:t>Chipu</w:t>
      </w:r>
      <w:proofErr w:type="spellEnd"/>
      <w:r w:rsidRPr="001B4623">
        <w:rPr>
          <w:rFonts w:ascii="Verdana" w:hAnsi="Verdana" w:cs="Bembo Std"/>
          <w:i/>
          <w:iCs/>
          <w:sz w:val="18"/>
          <w:szCs w:val="18"/>
        </w:rPr>
        <w:t xml:space="preserve"> and Central Technical Services (Pty) Ltd </w:t>
      </w:r>
      <w:r w:rsidRPr="001B4623">
        <w:rPr>
          <w:rFonts w:ascii="Verdana" w:hAnsi="Verdana" w:cs="Bembo Std"/>
          <w:sz w:val="18"/>
          <w:szCs w:val="18"/>
        </w:rPr>
        <w:t xml:space="preserve">the commissioner found the dismissal for poor work performance of an artisan who had twice failed competence assessment tests to be fair. The employer could not be expected to provide the employee with additional training when he had been hired as a properly qualified artisan. The commissioner in </w:t>
      </w:r>
      <w:proofErr w:type="spellStart"/>
      <w:r w:rsidRPr="001B4623">
        <w:rPr>
          <w:rFonts w:ascii="Verdana" w:hAnsi="Verdana" w:cs="Bembo Std"/>
          <w:i/>
          <w:iCs/>
          <w:sz w:val="18"/>
          <w:szCs w:val="18"/>
        </w:rPr>
        <w:t>Dube</w:t>
      </w:r>
      <w:proofErr w:type="spellEnd"/>
      <w:r w:rsidRPr="001B4623">
        <w:rPr>
          <w:rFonts w:ascii="Verdana" w:hAnsi="Verdana" w:cs="Bembo Std"/>
          <w:i/>
          <w:iCs/>
          <w:sz w:val="18"/>
          <w:szCs w:val="18"/>
        </w:rPr>
        <w:t xml:space="preserve"> and </w:t>
      </w:r>
      <w:proofErr w:type="spellStart"/>
      <w:r w:rsidRPr="001B4623">
        <w:rPr>
          <w:rFonts w:ascii="Verdana" w:hAnsi="Verdana" w:cs="Bembo Std"/>
          <w:i/>
          <w:iCs/>
          <w:sz w:val="18"/>
          <w:szCs w:val="18"/>
        </w:rPr>
        <w:t>Sentech</w:t>
      </w:r>
      <w:proofErr w:type="spellEnd"/>
      <w:r w:rsidRPr="001B4623">
        <w:rPr>
          <w:rFonts w:ascii="Verdana" w:hAnsi="Verdana" w:cs="Bembo Std"/>
          <w:i/>
          <w:iCs/>
          <w:sz w:val="18"/>
          <w:szCs w:val="18"/>
        </w:rPr>
        <w:t xml:space="preserve"> Ltd</w:t>
      </w:r>
      <w:r w:rsidRPr="001B4623">
        <w:rPr>
          <w:rFonts w:ascii="Verdana" w:hAnsi="Verdana" w:cs="Bembo Std"/>
          <w:sz w:val="18"/>
          <w:szCs w:val="18"/>
        </w:rPr>
        <w:t xml:space="preserve"> had to consider whether an employee who had resigned had successfully met the legal requirements to show that he had been constructively dismissed, and thereafter had to decide whether </w:t>
      </w:r>
      <w:r w:rsidRPr="001B4623">
        <w:rPr>
          <w:rFonts w:ascii="Verdana" w:hAnsi="Verdana"/>
          <w:sz w:val="18"/>
          <w:szCs w:val="18"/>
        </w:rPr>
        <w:t>on the evidence the applicant had discharged that burden of proof. The commissioner found that the employee had been treated improperly and was justified in viewing his suspension and unwarranted disciplinary action as unfair, but that other avenues were open to him to air his grievances, and the employer’s conduct did not leave the employee with no alternative but to terminate his employment. He had therefore not proved constructive dismissal.</w:t>
      </w:r>
    </w:p>
    <w:p w:rsidR="008242B4" w:rsidRPr="008242B4" w:rsidRDefault="008242B4" w:rsidP="008242B4">
      <w:pPr>
        <w:autoSpaceDE w:val="0"/>
        <w:autoSpaceDN w:val="0"/>
        <w:adjustRightInd w:val="0"/>
        <w:spacing w:before="220" w:after="100" w:line="221" w:lineRule="atLeast"/>
        <w:rPr>
          <w:rFonts w:ascii="Verdana" w:hAnsi="Verdana" w:cs="Helvetica LT Std"/>
          <w:b/>
          <w:sz w:val="18"/>
          <w:szCs w:val="18"/>
        </w:rPr>
      </w:pPr>
      <w:r w:rsidRPr="008242B4">
        <w:rPr>
          <w:rFonts w:ascii="Verdana" w:hAnsi="Verdana" w:cs="Helvetica LT Std"/>
          <w:b/>
          <w:sz w:val="18"/>
          <w:szCs w:val="18"/>
        </w:rPr>
        <w:t>Requirements to Found Urgent Interim Interdict</w:t>
      </w:r>
    </w:p>
    <w:p w:rsidR="008242B4" w:rsidRPr="001B4623" w:rsidRDefault="008242B4" w:rsidP="008242B4">
      <w:pPr>
        <w:autoSpaceDE w:val="0"/>
        <w:autoSpaceDN w:val="0"/>
        <w:adjustRightInd w:val="0"/>
        <w:spacing w:line="211" w:lineRule="atLeast"/>
        <w:jc w:val="both"/>
        <w:rPr>
          <w:rFonts w:ascii="Verdana" w:hAnsi="Verdana" w:cs="Bembo Std"/>
          <w:sz w:val="18"/>
          <w:szCs w:val="18"/>
        </w:rPr>
      </w:pPr>
      <w:r w:rsidRPr="001B4623">
        <w:rPr>
          <w:rFonts w:ascii="Verdana" w:hAnsi="Verdana" w:cs="Bembo Std"/>
          <w:sz w:val="18"/>
          <w:szCs w:val="18"/>
        </w:rPr>
        <w:t xml:space="preserve">The </w:t>
      </w:r>
      <w:proofErr w:type="spellStart"/>
      <w:r w:rsidRPr="001B4623">
        <w:rPr>
          <w:rFonts w:ascii="Verdana" w:hAnsi="Verdana" w:cs="Bembo Std"/>
          <w:sz w:val="18"/>
          <w:szCs w:val="18"/>
        </w:rPr>
        <w:t>Labour</w:t>
      </w:r>
      <w:proofErr w:type="spellEnd"/>
      <w:r w:rsidRPr="001B4623">
        <w:rPr>
          <w:rFonts w:ascii="Verdana" w:hAnsi="Verdana" w:cs="Bembo Std"/>
          <w:sz w:val="18"/>
          <w:szCs w:val="18"/>
        </w:rPr>
        <w:t xml:space="preserve"> Appeal Court set aside an urgent interim interdict granted by the </w:t>
      </w:r>
      <w:proofErr w:type="spellStart"/>
      <w:r w:rsidRPr="001B4623">
        <w:rPr>
          <w:rFonts w:ascii="Verdana" w:hAnsi="Verdana" w:cs="Bembo Std"/>
          <w:sz w:val="18"/>
          <w:szCs w:val="18"/>
        </w:rPr>
        <w:t>Labour</w:t>
      </w:r>
      <w:proofErr w:type="spellEnd"/>
      <w:r w:rsidRPr="001B4623">
        <w:rPr>
          <w:rFonts w:ascii="Verdana" w:hAnsi="Verdana" w:cs="Bembo Std"/>
          <w:sz w:val="18"/>
          <w:szCs w:val="18"/>
        </w:rPr>
        <w:t xml:space="preserve"> Court in </w:t>
      </w:r>
      <w:r w:rsidRPr="001B4623">
        <w:rPr>
          <w:rFonts w:ascii="Verdana" w:hAnsi="Verdana" w:cs="Bembo Std"/>
          <w:i/>
          <w:iCs/>
          <w:sz w:val="18"/>
          <w:szCs w:val="18"/>
        </w:rPr>
        <w:t>Palace Group Investments (Pty) Ltd &amp; another v Mackie</w:t>
      </w:r>
      <w:r w:rsidRPr="001B4623">
        <w:rPr>
          <w:rFonts w:ascii="Verdana" w:hAnsi="Verdana" w:cs="Bembo Std"/>
          <w:sz w:val="18"/>
          <w:szCs w:val="18"/>
        </w:rPr>
        <w:t xml:space="preserve">, finding that the respondent had failed in his supporting affidavit to set out sufficient facts on which he relied to enable the court to assess whether he had made out a prima facie case entitling him to the relief claimed. The court further noted that it is not an inflexible rule that an appeal cannot succeed against an interim interdict, and found that the interests of justice dictated that the appeal should be considered, even though the order was of an interim nature. </w:t>
      </w:r>
    </w:p>
    <w:p w:rsidR="008242B4" w:rsidRPr="008242B4" w:rsidRDefault="008242B4" w:rsidP="008242B4">
      <w:pPr>
        <w:autoSpaceDE w:val="0"/>
        <w:autoSpaceDN w:val="0"/>
        <w:adjustRightInd w:val="0"/>
        <w:spacing w:before="220" w:after="100" w:line="221" w:lineRule="atLeast"/>
        <w:rPr>
          <w:rFonts w:ascii="Verdana" w:hAnsi="Verdana" w:cs="Helvetica LT Std"/>
          <w:b/>
          <w:sz w:val="18"/>
          <w:szCs w:val="18"/>
        </w:rPr>
      </w:pPr>
      <w:r w:rsidRPr="008242B4">
        <w:rPr>
          <w:rFonts w:ascii="Verdana" w:hAnsi="Verdana" w:cs="Helvetica LT Std"/>
          <w:b/>
          <w:sz w:val="18"/>
          <w:szCs w:val="18"/>
        </w:rPr>
        <w:t xml:space="preserve">Disciplinary Code and Procedure </w:t>
      </w:r>
    </w:p>
    <w:p w:rsidR="008242B4" w:rsidRDefault="008242B4" w:rsidP="008242B4">
      <w:pPr>
        <w:autoSpaceDE w:val="0"/>
        <w:autoSpaceDN w:val="0"/>
        <w:adjustRightInd w:val="0"/>
        <w:spacing w:line="211" w:lineRule="atLeast"/>
        <w:jc w:val="both"/>
        <w:rPr>
          <w:rFonts w:ascii="Verdana" w:hAnsi="Verdana" w:cs="Bembo Std"/>
          <w:sz w:val="18"/>
          <w:szCs w:val="18"/>
        </w:rPr>
      </w:pPr>
      <w:r w:rsidRPr="001B4623">
        <w:rPr>
          <w:rFonts w:ascii="Verdana" w:hAnsi="Verdana" w:cs="Bembo Std"/>
          <w:sz w:val="18"/>
          <w:szCs w:val="18"/>
        </w:rPr>
        <w:t xml:space="preserve">The respondent employee in </w:t>
      </w:r>
      <w:r w:rsidRPr="001B4623">
        <w:rPr>
          <w:rFonts w:ascii="Verdana" w:hAnsi="Verdana" w:cs="Bembo Std"/>
          <w:i/>
          <w:iCs/>
          <w:sz w:val="18"/>
          <w:szCs w:val="18"/>
        </w:rPr>
        <w:t>SA Revenue Service v Commission for Conciliation, Mediation &amp; Arbitration &amp; others</w:t>
      </w:r>
      <w:r w:rsidRPr="001B4623">
        <w:rPr>
          <w:rFonts w:ascii="Verdana" w:hAnsi="Verdana" w:cs="Bembo Std"/>
          <w:sz w:val="18"/>
          <w:szCs w:val="18"/>
        </w:rPr>
        <w:t xml:space="preserve"> was initially charged with fraud at a disciplinary enquiry, but was found not guilty. It was later found that the documents on which she had relied at the enquiry had been forged, and she was charged with misconduct related to forgery and dismissed. At arbitration the commissioner found that she had been subjected to double jeopardy and ordered her reinstatement. On review the </w:t>
      </w:r>
      <w:proofErr w:type="spellStart"/>
      <w:r w:rsidRPr="001B4623">
        <w:rPr>
          <w:rFonts w:ascii="Verdana" w:hAnsi="Verdana" w:cs="Bembo Std"/>
          <w:sz w:val="18"/>
          <w:szCs w:val="18"/>
        </w:rPr>
        <w:t>Labour</w:t>
      </w:r>
      <w:proofErr w:type="spellEnd"/>
      <w:r w:rsidRPr="001B4623">
        <w:rPr>
          <w:rFonts w:ascii="Verdana" w:hAnsi="Verdana" w:cs="Bembo Std"/>
          <w:sz w:val="18"/>
          <w:szCs w:val="18"/>
        </w:rPr>
        <w:t xml:space="preserve"> Court examined the concept of double jeopardy and found that the first acts of misconduct on which she had been exonerated were clearly distinguishable from the second</w:t>
      </w:r>
      <w:r w:rsidR="000C72B8">
        <w:rPr>
          <w:rFonts w:ascii="Verdana" w:hAnsi="Verdana" w:cs="Bembo Std"/>
          <w:sz w:val="18"/>
          <w:szCs w:val="18"/>
        </w:rPr>
        <w:t>,</w:t>
      </w:r>
      <w:r w:rsidRPr="001B4623">
        <w:rPr>
          <w:rFonts w:ascii="Verdana" w:hAnsi="Verdana" w:cs="Bembo Std"/>
          <w:sz w:val="18"/>
          <w:szCs w:val="18"/>
        </w:rPr>
        <w:t xml:space="preserve"> notwithstanding the similarities in their facts and role players. The commissioner had therefore misdirected himself by conflating them, and his award was set aside. </w:t>
      </w:r>
    </w:p>
    <w:p w:rsidR="000C72B8" w:rsidRPr="001B4623" w:rsidRDefault="000C72B8" w:rsidP="008242B4">
      <w:pPr>
        <w:autoSpaceDE w:val="0"/>
        <w:autoSpaceDN w:val="0"/>
        <w:adjustRightInd w:val="0"/>
        <w:spacing w:line="211" w:lineRule="atLeast"/>
        <w:jc w:val="both"/>
        <w:rPr>
          <w:rFonts w:ascii="Verdana" w:hAnsi="Verdana" w:cs="Bembo Std"/>
          <w:sz w:val="18"/>
          <w:szCs w:val="18"/>
        </w:rPr>
      </w:pPr>
    </w:p>
    <w:p w:rsidR="008242B4" w:rsidRPr="008242B4" w:rsidRDefault="008242B4" w:rsidP="008242B4">
      <w:pPr>
        <w:autoSpaceDE w:val="0"/>
        <w:autoSpaceDN w:val="0"/>
        <w:adjustRightInd w:val="0"/>
        <w:spacing w:line="211" w:lineRule="atLeast"/>
        <w:jc w:val="both"/>
        <w:rPr>
          <w:rFonts w:ascii="Verdana" w:hAnsi="Verdana" w:cs="Bembo Std"/>
          <w:sz w:val="18"/>
          <w:szCs w:val="18"/>
        </w:rPr>
      </w:pPr>
      <w:r w:rsidRPr="001B4623">
        <w:rPr>
          <w:rFonts w:ascii="Verdana" w:hAnsi="Verdana" w:cs="Bembo Std"/>
          <w:sz w:val="18"/>
          <w:szCs w:val="18"/>
        </w:rPr>
        <w:t xml:space="preserve">The employee party in </w:t>
      </w:r>
      <w:proofErr w:type="spellStart"/>
      <w:r w:rsidRPr="001B4623">
        <w:rPr>
          <w:rFonts w:ascii="Verdana" w:hAnsi="Verdana" w:cs="Bembo Std"/>
          <w:i/>
          <w:iCs/>
          <w:sz w:val="18"/>
          <w:szCs w:val="18"/>
        </w:rPr>
        <w:t>Seakamela</w:t>
      </w:r>
      <w:proofErr w:type="spellEnd"/>
      <w:r w:rsidRPr="001B4623">
        <w:rPr>
          <w:rFonts w:ascii="Verdana" w:hAnsi="Verdana" w:cs="Bembo Std"/>
          <w:i/>
          <w:iCs/>
          <w:sz w:val="18"/>
          <w:szCs w:val="18"/>
        </w:rPr>
        <w:t xml:space="preserve"> and </w:t>
      </w:r>
      <w:proofErr w:type="spellStart"/>
      <w:r w:rsidRPr="001B4623">
        <w:rPr>
          <w:rFonts w:ascii="Verdana" w:hAnsi="Verdana" w:cs="Bembo Std"/>
          <w:i/>
          <w:iCs/>
          <w:sz w:val="18"/>
          <w:szCs w:val="18"/>
        </w:rPr>
        <w:t>Magalies</w:t>
      </w:r>
      <w:proofErr w:type="spellEnd"/>
      <w:r w:rsidRPr="001B4623">
        <w:rPr>
          <w:rFonts w:ascii="Verdana" w:hAnsi="Verdana" w:cs="Bembo Std"/>
          <w:i/>
          <w:iCs/>
          <w:sz w:val="18"/>
          <w:szCs w:val="18"/>
        </w:rPr>
        <w:t xml:space="preserve"> Water</w:t>
      </w:r>
      <w:r w:rsidRPr="001B4623">
        <w:rPr>
          <w:rFonts w:ascii="Verdana" w:hAnsi="Verdana" w:cs="Bembo Std"/>
          <w:sz w:val="18"/>
          <w:szCs w:val="18"/>
        </w:rPr>
        <w:t xml:space="preserve"> was dismissed for gross insubordination and refusing a reasonable instruction. At CCMA arbitration the employee challenged the procedural fairness of numerous aspects of his disciplinary enquiry, including alleged bias, the splitting of charges</w:t>
      </w:r>
      <w:r w:rsidR="001B4623">
        <w:rPr>
          <w:rFonts w:ascii="Verdana" w:hAnsi="Verdana" w:cs="Bembo Std"/>
          <w:sz w:val="18"/>
          <w:szCs w:val="18"/>
        </w:rPr>
        <w:t xml:space="preserve"> </w:t>
      </w:r>
      <w:r>
        <w:rPr>
          <w:rFonts w:ascii="Verdana" w:hAnsi="Verdana" w:cs="Bembo Std"/>
          <w:sz w:val="18"/>
          <w:szCs w:val="18"/>
        </w:rPr>
        <w:br w:type="page"/>
      </w:r>
      <w:r w:rsidRPr="001B4623">
        <w:rPr>
          <w:rFonts w:ascii="Verdana" w:hAnsi="Verdana" w:cs="Bembo Std"/>
          <w:sz w:val="18"/>
          <w:szCs w:val="18"/>
        </w:rPr>
        <w:lastRenderedPageBreak/>
        <w:t>and not allowing the employee’s attorney to listen to the whole of an audio recording, all of which were considered in turn and were found to be reasonable in the circumstances of the case, and not to be procedurally unfair.</w:t>
      </w:r>
      <w:r w:rsidRPr="008242B4">
        <w:rPr>
          <w:rFonts w:ascii="Verdana" w:hAnsi="Verdana" w:cs="Bembo Std"/>
          <w:sz w:val="18"/>
          <w:szCs w:val="18"/>
        </w:rPr>
        <w:t xml:space="preserve"> </w:t>
      </w:r>
    </w:p>
    <w:p w:rsidR="008242B4" w:rsidRPr="008242B4" w:rsidRDefault="008242B4" w:rsidP="008242B4">
      <w:pPr>
        <w:autoSpaceDE w:val="0"/>
        <w:autoSpaceDN w:val="0"/>
        <w:adjustRightInd w:val="0"/>
        <w:spacing w:before="220" w:after="100" w:line="221" w:lineRule="atLeast"/>
        <w:rPr>
          <w:rFonts w:ascii="Verdana" w:hAnsi="Verdana" w:cs="Helvetica LT Std"/>
          <w:b/>
          <w:sz w:val="18"/>
          <w:szCs w:val="18"/>
        </w:rPr>
      </w:pPr>
      <w:r w:rsidRPr="008242B4">
        <w:rPr>
          <w:rFonts w:ascii="Verdana" w:hAnsi="Verdana" w:cs="Helvetica LT Std"/>
          <w:b/>
          <w:sz w:val="18"/>
          <w:szCs w:val="18"/>
        </w:rPr>
        <w:t>Evidence</w:t>
      </w:r>
    </w:p>
    <w:p w:rsidR="008242B4" w:rsidRPr="001B4623" w:rsidRDefault="008242B4" w:rsidP="008242B4">
      <w:pPr>
        <w:autoSpaceDE w:val="0"/>
        <w:autoSpaceDN w:val="0"/>
        <w:adjustRightInd w:val="0"/>
        <w:spacing w:line="211" w:lineRule="atLeast"/>
        <w:jc w:val="both"/>
        <w:rPr>
          <w:rFonts w:ascii="Verdana" w:hAnsi="Verdana" w:cs="Bembo Std"/>
          <w:sz w:val="18"/>
          <w:szCs w:val="18"/>
        </w:rPr>
      </w:pPr>
      <w:r w:rsidRPr="001B4623">
        <w:rPr>
          <w:rFonts w:ascii="Verdana" w:hAnsi="Verdana" w:cs="Bembo Std"/>
          <w:sz w:val="18"/>
          <w:szCs w:val="18"/>
        </w:rPr>
        <w:t xml:space="preserve">In </w:t>
      </w:r>
      <w:r w:rsidRPr="001B4623">
        <w:rPr>
          <w:rFonts w:ascii="Verdana" w:hAnsi="Verdana" w:cs="Bembo Std"/>
          <w:i/>
          <w:iCs/>
          <w:sz w:val="18"/>
          <w:szCs w:val="18"/>
        </w:rPr>
        <w:t xml:space="preserve">United Association of SA on behalf of </w:t>
      </w:r>
      <w:proofErr w:type="spellStart"/>
      <w:r w:rsidRPr="001B4623">
        <w:rPr>
          <w:rFonts w:ascii="Verdana" w:hAnsi="Verdana" w:cs="Bembo Std"/>
          <w:i/>
          <w:iCs/>
          <w:sz w:val="18"/>
          <w:szCs w:val="18"/>
        </w:rPr>
        <w:t>Benade</w:t>
      </w:r>
      <w:proofErr w:type="spellEnd"/>
      <w:r w:rsidRPr="001B4623">
        <w:rPr>
          <w:rFonts w:ascii="Verdana" w:hAnsi="Verdana" w:cs="Bembo Std"/>
          <w:i/>
          <w:iCs/>
          <w:sz w:val="18"/>
          <w:szCs w:val="18"/>
        </w:rPr>
        <w:t xml:space="preserve"> and </w:t>
      </w:r>
      <w:proofErr w:type="spellStart"/>
      <w:r w:rsidRPr="001B4623">
        <w:rPr>
          <w:rFonts w:ascii="Verdana" w:hAnsi="Verdana" w:cs="Bembo Std"/>
          <w:i/>
          <w:iCs/>
          <w:sz w:val="18"/>
          <w:szCs w:val="18"/>
        </w:rPr>
        <w:t>Driefontein</w:t>
      </w:r>
      <w:proofErr w:type="spellEnd"/>
      <w:r w:rsidRPr="001B4623">
        <w:rPr>
          <w:rFonts w:ascii="Verdana" w:hAnsi="Verdana" w:cs="Bembo Std"/>
          <w:i/>
          <w:iCs/>
          <w:sz w:val="18"/>
          <w:szCs w:val="18"/>
        </w:rPr>
        <w:t xml:space="preserve"> Gold Mine (KDC West)—A Division of </w:t>
      </w:r>
      <w:proofErr w:type="spellStart"/>
      <w:r w:rsidRPr="001B4623">
        <w:rPr>
          <w:rFonts w:ascii="Verdana" w:hAnsi="Verdana" w:cs="Bembo Std"/>
          <w:i/>
          <w:iCs/>
          <w:sz w:val="18"/>
          <w:szCs w:val="18"/>
        </w:rPr>
        <w:t>Sibanye</w:t>
      </w:r>
      <w:proofErr w:type="spellEnd"/>
      <w:r w:rsidRPr="001B4623">
        <w:rPr>
          <w:rFonts w:ascii="Verdana" w:hAnsi="Verdana" w:cs="Bembo Std"/>
          <w:i/>
          <w:iCs/>
          <w:sz w:val="18"/>
          <w:szCs w:val="18"/>
        </w:rPr>
        <w:t xml:space="preserve"> Gold Ltd </w:t>
      </w:r>
      <w:r w:rsidRPr="001B4623">
        <w:rPr>
          <w:rFonts w:ascii="Verdana" w:hAnsi="Verdana" w:cs="Bembo Std"/>
          <w:sz w:val="18"/>
          <w:szCs w:val="18"/>
        </w:rPr>
        <w:t xml:space="preserve">the commissioner considered when a document handed in as evidence should be regarded </w:t>
      </w:r>
      <w:r w:rsidRPr="001B4623">
        <w:rPr>
          <w:rFonts w:ascii="Verdana" w:hAnsi="Verdana"/>
          <w:sz w:val="18"/>
          <w:szCs w:val="18"/>
        </w:rPr>
        <w:t xml:space="preserve">as privileged, and refused to allow into evidence a document prepared by the employer’s legal representatives after being consulted for legal advice. After considering the extent to which circumstantial evidence could be accepted to prove the commission of an offence by an employee, the commissioner in </w:t>
      </w:r>
      <w:r w:rsidRPr="001B4623">
        <w:rPr>
          <w:rFonts w:ascii="Verdana" w:hAnsi="Verdana" w:cs="Bembo Std"/>
          <w:i/>
          <w:iCs/>
          <w:sz w:val="18"/>
          <w:szCs w:val="18"/>
        </w:rPr>
        <w:t xml:space="preserve">United Association of SA on behalf of </w:t>
      </w:r>
      <w:proofErr w:type="spellStart"/>
      <w:r w:rsidRPr="001B4623">
        <w:rPr>
          <w:rFonts w:ascii="Verdana" w:hAnsi="Verdana" w:cs="Bembo Std"/>
          <w:i/>
          <w:iCs/>
          <w:sz w:val="18"/>
          <w:szCs w:val="18"/>
        </w:rPr>
        <w:t>Msibi</w:t>
      </w:r>
      <w:proofErr w:type="spellEnd"/>
      <w:r w:rsidRPr="001B4623">
        <w:rPr>
          <w:rFonts w:ascii="Verdana" w:hAnsi="Verdana" w:cs="Bembo Std"/>
          <w:i/>
          <w:iCs/>
          <w:sz w:val="18"/>
          <w:szCs w:val="18"/>
        </w:rPr>
        <w:t xml:space="preserve"> and </w:t>
      </w:r>
      <w:proofErr w:type="spellStart"/>
      <w:r w:rsidRPr="001B4623">
        <w:rPr>
          <w:rFonts w:ascii="Verdana" w:hAnsi="Verdana" w:cs="Bembo Std"/>
          <w:i/>
          <w:iCs/>
          <w:sz w:val="18"/>
          <w:szCs w:val="18"/>
        </w:rPr>
        <w:t>Lonmin</w:t>
      </w:r>
      <w:proofErr w:type="spellEnd"/>
      <w:r w:rsidRPr="001B4623">
        <w:rPr>
          <w:rFonts w:ascii="Verdana" w:hAnsi="Verdana" w:cs="Bembo Std"/>
          <w:i/>
          <w:iCs/>
          <w:sz w:val="18"/>
          <w:szCs w:val="18"/>
        </w:rPr>
        <w:t xml:space="preserve"> Platinum </w:t>
      </w:r>
      <w:r w:rsidRPr="001B4623">
        <w:rPr>
          <w:rFonts w:ascii="Verdana" w:hAnsi="Verdana" w:cs="Bembo Std"/>
          <w:sz w:val="18"/>
          <w:szCs w:val="18"/>
        </w:rPr>
        <w:t>noted that he had to look at the totality of the evidence and weigh it on a balance of probabilities. An inference had to be drawn through a careful survey of the connection between the facts and their relationship to the offence alleged to have been committed. In the matter before him he found that the allegations against the employee amounted to mere conjecture and he was not prepared to draw an inference of theft from the evidence submitted.</w:t>
      </w:r>
    </w:p>
    <w:p w:rsidR="008242B4" w:rsidRPr="008242B4" w:rsidRDefault="008242B4" w:rsidP="008242B4">
      <w:pPr>
        <w:autoSpaceDE w:val="0"/>
        <w:autoSpaceDN w:val="0"/>
        <w:adjustRightInd w:val="0"/>
        <w:spacing w:after="60" w:line="211" w:lineRule="atLeast"/>
        <w:jc w:val="both"/>
        <w:rPr>
          <w:rFonts w:ascii="Verdana" w:hAnsi="Verdana" w:cs="Bembo Std"/>
          <w:i/>
          <w:iCs/>
          <w:sz w:val="18"/>
          <w:szCs w:val="18"/>
        </w:rPr>
      </w:pPr>
    </w:p>
    <w:p w:rsidR="008242B4" w:rsidRPr="008242B4" w:rsidRDefault="008242B4" w:rsidP="008242B4">
      <w:pPr>
        <w:autoSpaceDE w:val="0"/>
        <w:autoSpaceDN w:val="0"/>
        <w:adjustRightInd w:val="0"/>
        <w:spacing w:after="60" w:line="211" w:lineRule="atLeast"/>
        <w:jc w:val="both"/>
        <w:rPr>
          <w:rFonts w:ascii="Verdana" w:hAnsi="Verdana" w:cs="Bembo Std"/>
          <w:b/>
          <w:sz w:val="18"/>
          <w:szCs w:val="18"/>
        </w:rPr>
      </w:pPr>
      <w:r w:rsidRPr="008242B4">
        <w:rPr>
          <w:rFonts w:ascii="Verdana" w:hAnsi="Verdana" w:cs="Bembo Std"/>
          <w:b/>
          <w:i/>
          <w:iCs/>
          <w:sz w:val="18"/>
          <w:szCs w:val="18"/>
        </w:rPr>
        <w:t>Quote of the Month:</w:t>
      </w:r>
    </w:p>
    <w:p w:rsidR="0042481A" w:rsidRPr="008242B4" w:rsidRDefault="008242B4" w:rsidP="008242B4">
      <w:pPr>
        <w:autoSpaceDE w:val="0"/>
        <w:autoSpaceDN w:val="0"/>
        <w:adjustRightInd w:val="0"/>
        <w:spacing w:before="360" w:after="100" w:line="240" w:lineRule="atLeast"/>
        <w:rPr>
          <w:rFonts w:ascii="Verdana" w:hAnsi="Verdana" w:cs="Bembo Std"/>
          <w:sz w:val="18"/>
          <w:szCs w:val="18"/>
        </w:rPr>
      </w:pPr>
      <w:r w:rsidRPr="008242B4">
        <w:rPr>
          <w:rFonts w:ascii="Verdana" w:hAnsi="Verdana" w:cs="Bembo Std"/>
          <w:sz w:val="18"/>
          <w:szCs w:val="18"/>
        </w:rPr>
        <w:t>Not awarded.</w:t>
      </w:r>
    </w:p>
    <w:sectPr w:rsidR="0042481A" w:rsidRPr="008242B4" w:rsidSect="0097679A">
      <w:headerReference w:type="default" r:id="rId11"/>
      <w:footerReference w:type="default" r:id="rId12"/>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1F6" w:rsidRDefault="00C261F6">
      <w:r>
        <w:separator/>
      </w:r>
    </w:p>
  </w:endnote>
  <w:endnote w:type="continuationSeparator" w:id="0">
    <w:p w:rsidR="00C261F6" w:rsidRDefault="00C261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D41BE3">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251657216" filled="f" stroked="f">
          <v:textbox style="mso-next-textbox:#_x0000_s2051" inset="0,0,0,0">
            <w:txbxContent>
              <w:p w:rsidR="00C261F6" w:rsidRDefault="00C261F6">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C261F6" w:rsidRDefault="00C261F6">
                <w:pPr>
                  <w:pStyle w:val="BodyText2"/>
                  <w:rPr>
                    <w:rFonts w:ascii="Lucida Sans" w:hAnsi="Lucida Sans"/>
                    <w:sz w:val="12"/>
                  </w:rPr>
                </w:pPr>
              </w:p>
              <w:p w:rsidR="00C261F6" w:rsidRDefault="00C261F6">
                <w:pPr>
                  <w:pStyle w:val="BodyText2"/>
                  <w:rPr>
                    <w:rFonts w:ascii="Lucida Sans" w:hAnsi="Lucida Sans"/>
                    <w:sz w:val="11"/>
                  </w:rPr>
                </w:pPr>
                <w:proofErr w:type="gramStart"/>
                <w:r>
                  <w:rPr>
                    <w:rFonts w:ascii="Lucida Sans" w:hAnsi="Lucida Sans"/>
                    <w:sz w:val="12"/>
                  </w:rPr>
                  <w:t>Juta and Company Ltd, REG. NO.</w:t>
                </w:r>
                <w:proofErr w:type="gramEnd"/>
                <w:r>
                  <w:rPr>
                    <w:rFonts w:ascii="Lucida Sans" w:hAnsi="Lucida Sans"/>
                    <w:sz w:val="12"/>
                  </w:rPr>
                  <w:t xml:space="preserve"> </w:t>
                </w:r>
                <w:proofErr w:type="gramStart"/>
                <w:r>
                  <w:rPr>
                    <w:rFonts w:ascii="Lucida Sans" w:hAnsi="Lucida Sans"/>
                    <w:sz w:val="12"/>
                  </w:rPr>
                  <w:t>1919/001812/06, VAT REG. NO.</w:t>
                </w:r>
                <w:proofErr w:type="gramEnd"/>
                <w:r>
                  <w:rPr>
                    <w:rFonts w:ascii="Lucida Sans" w:hAnsi="Lucida Sans"/>
                    <w:sz w:val="12"/>
                  </w:rPr>
                  <w:t xml:space="preserve"> 4520113319</w:t>
                </w:r>
              </w:p>
            </w:txbxContent>
          </v:textbox>
        </v:shape>
      </w:pict>
    </w:r>
    <w:r>
      <w:rPr>
        <w:noProof/>
      </w:rPr>
      <w:pict>
        <v:shape id="_x0000_s2055" type="#_x0000_t202" style="position:absolute;left:0;text-align:left;margin-left:-9.1pt;margin-top:-42.95pt;width:240.15pt;height:69.45pt;z-index:251658240" o:allowincell="f" filled="f" stroked="f">
          <v:textbox style="mso-next-textbox:#_x0000_s2055" inset="0,0,0,0">
            <w:txbxContent>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C261F6" w:rsidRDefault="00C261F6"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C261F6" w:rsidRDefault="00C261F6"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C261F6" w:rsidRPr="000456D8" w:rsidRDefault="00C261F6"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44.1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1F6" w:rsidRDefault="00C261F6">
      <w:r>
        <w:separator/>
      </w:r>
    </w:p>
  </w:footnote>
  <w:footnote w:type="continuationSeparator" w:id="0">
    <w:p w:rsidR="00C261F6" w:rsidRDefault="00C26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6" w:rsidRDefault="00D41BE3"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84.25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17AC9"/>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C72B8"/>
    <w:rsid w:val="000D388D"/>
    <w:rsid w:val="000D5B85"/>
    <w:rsid w:val="000E177F"/>
    <w:rsid w:val="000E1EF5"/>
    <w:rsid w:val="000E3380"/>
    <w:rsid w:val="000E42A0"/>
    <w:rsid w:val="00100A22"/>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4623"/>
    <w:rsid w:val="001B7620"/>
    <w:rsid w:val="001C1261"/>
    <w:rsid w:val="001C3D5B"/>
    <w:rsid w:val="001C53BA"/>
    <w:rsid w:val="001C64A1"/>
    <w:rsid w:val="001E087E"/>
    <w:rsid w:val="001E36A9"/>
    <w:rsid w:val="001E4CEB"/>
    <w:rsid w:val="001F251B"/>
    <w:rsid w:val="001F3CF0"/>
    <w:rsid w:val="0020693A"/>
    <w:rsid w:val="0020733C"/>
    <w:rsid w:val="002074E5"/>
    <w:rsid w:val="00210831"/>
    <w:rsid w:val="0021129A"/>
    <w:rsid w:val="00211EE8"/>
    <w:rsid w:val="00216292"/>
    <w:rsid w:val="00216A5B"/>
    <w:rsid w:val="00224C35"/>
    <w:rsid w:val="00225519"/>
    <w:rsid w:val="00231CB5"/>
    <w:rsid w:val="0023210A"/>
    <w:rsid w:val="00232858"/>
    <w:rsid w:val="002361CB"/>
    <w:rsid w:val="00242F0C"/>
    <w:rsid w:val="00247AF1"/>
    <w:rsid w:val="00255FB0"/>
    <w:rsid w:val="00256053"/>
    <w:rsid w:val="002577AB"/>
    <w:rsid w:val="00264B9D"/>
    <w:rsid w:val="00267928"/>
    <w:rsid w:val="002748DF"/>
    <w:rsid w:val="002758CD"/>
    <w:rsid w:val="00287E62"/>
    <w:rsid w:val="00290855"/>
    <w:rsid w:val="002A0F01"/>
    <w:rsid w:val="002A628F"/>
    <w:rsid w:val="002A7F9E"/>
    <w:rsid w:val="002D4462"/>
    <w:rsid w:val="002D49A8"/>
    <w:rsid w:val="002E5F7D"/>
    <w:rsid w:val="002E6663"/>
    <w:rsid w:val="002E72D5"/>
    <w:rsid w:val="002F0550"/>
    <w:rsid w:val="002F2D28"/>
    <w:rsid w:val="002F6F9F"/>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565B"/>
    <w:rsid w:val="003868E4"/>
    <w:rsid w:val="0039065D"/>
    <w:rsid w:val="00394534"/>
    <w:rsid w:val="003A3410"/>
    <w:rsid w:val="003A3AA4"/>
    <w:rsid w:val="003B29A1"/>
    <w:rsid w:val="003B38E4"/>
    <w:rsid w:val="003B4058"/>
    <w:rsid w:val="003C1B44"/>
    <w:rsid w:val="003C4C13"/>
    <w:rsid w:val="003C5552"/>
    <w:rsid w:val="003D25CD"/>
    <w:rsid w:val="003D5762"/>
    <w:rsid w:val="003E1C70"/>
    <w:rsid w:val="003E67B6"/>
    <w:rsid w:val="003F4E8D"/>
    <w:rsid w:val="003F5C54"/>
    <w:rsid w:val="003F5C98"/>
    <w:rsid w:val="00402C23"/>
    <w:rsid w:val="00403045"/>
    <w:rsid w:val="00412C78"/>
    <w:rsid w:val="00422772"/>
    <w:rsid w:val="004227CE"/>
    <w:rsid w:val="004235CF"/>
    <w:rsid w:val="004247C9"/>
    <w:rsid w:val="0042481A"/>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2109"/>
    <w:rsid w:val="005358DC"/>
    <w:rsid w:val="00544C04"/>
    <w:rsid w:val="0055147F"/>
    <w:rsid w:val="005546F9"/>
    <w:rsid w:val="0055667E"/>
    <w:rsid w:val="00560F3F"/>
    <w:rsid w:val="0056355B"/>
    <w:rsid w:val="00563EC6"/>
    <w:rsid w:val="00565394"/>
    <w:rsid w:val="005709F9"/>
    <w:rsid w:val="00571A32"/>
    <w:rsid w:val="00571A7D"/>
    <w:rsid w:val="005749A7"/>
    <w:rsid w:val="00574F10"/>
    <w:rsid w:val="00584652"/>
    <w:rsid w:val="00585621"/>
    <w:rsid w:val="005860FB"/>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E1E38"/>
    <w:rsid w:val="006E7C1A"/>
    <w:rsid w:val="006F7256"/>
    <w:rsid w:val="006F7DB7"/>
    <w:rsid w:val="00704B7F"/>
    <w:rsid w:val="0071358B"/>
    <w:rsid w:val="00714E1A"/>
    <w:rsid w:val="0072142D"/>
    <w:rsid w:val="007237DF"/>
    <w:rsid w:val="00724F46"/>
    <w:rsid w:val="007268DD"/>
    <w:rsid w:val="00726F6F"/>
    <w:rsid w:val="00731AA0"/>
    <w:rsid w:val="00737EDE"/>
    <w:rsid w:val="007423F2"/>
    <w:rsid w:val="0074261A"/>
    <w:rsid w:val="00742661"/>
    <w:rsid w:val="0074676C"/>
    <w:rsid w:val="007473C9"/>
    <w:rsid w:val="00755440"/>
    <w:rsid w:val="00761F9B"/>
    <w:rsid w:val="00762D01"/>
    <w:rsid w:val="007702C2"/>
    <w:rsid w:val="00770E1D"/>
    <w:rsid w:val="00784638"/>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42B4"/>
    <w:rsid w:val="0082674D"/>
    <w:rsid w:val="008270F6"/>
    <w:rsid w:val="00831363"/>
    <w:rsid w:val="00835377"/>
    <w:rsid w:val="0084179A"/>
    <w:rsid w:val="008428B1"/>
    <w:rsid w:val="008452F6"/>
    <w:rsid w:val="008545B1"/>
    <w:rsid w:val="00861D42"/>
    <w:rsid w:val="00863FEB"/>
    <w:rsid w:val="00864822"/>
    <w:rsid w:val="00871255"/>
    <w:rsid w:val="008746BF"/>
    <w:rsid w:val="00880E54"/>
    <w:rsid w:val="008819E6"/>
    <w:rsid w:val="00882717"/>
    <w:rsid w:val="00884154"/>
    <w:rsid w:val="00886024"/>
    <w:rsid w:val="00895316"/>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9F7E7C"/>
    <w:rsid w:val="00A00630"/>
    <w:rsid w:val="00A05597"/>
    <w:rsid w:val="00A13A4D"/>
    <w:rsid w:val="00A14B36"/>
    <w:rsid w:val="00A169A9"/>
    <w:rsid w:val="00A23261"/>
    <w:rsid w:val="00A25BF1"/>
    <w:rsid w:val="00A2667D"/>
    <w:rsid w:val="00A311F0"/>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093"/>
    <w:rsid w:val="00AA12D6"/>
    <w:rsid w:val="00AB22B6"/>
    <w:rsid w:val="00AB6C51"/>
    <w:rsid w:val="00AC0012"/>
    <w:rsid w:val="00AC401D"/>
    <w:rsid w:val="00AD10B5"/>
    <w:rsid w:val="00AD11DF"/>
    <w:rsid w:val="00AD3276"/>
    <w:rsid w:val="00AE20AC"/>
    <w:rsid w:val="00AE47A0"/>
    <w:rsid w:val="00AE53F1"/>
    <w:rsid w:val="00AE6542"/>
    <w:rsid w:val="00AF0405"/>
    <w:rsid w:val="00AF3178"/>
    <w:rsid w:val="00AF74A0"/>
    <w:rsid w:val="00B00BEA"/>
    <w:rsid w:val="00B0180B"/>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66D3F"/>
    <w:rsid w:val="00B739C2"/>
    <w:rsid w:val="00B761CB"/>
    <w:rsid w:val="00B8032A"/>
    <w:rsid w:val="00B80539"/>
    <w:rsid w:val="00B84BAA"/>
    <w:rsid w:val="00B8608A"/>
    <w:rsid w:val="00B90EEC"/>
    <w:rsid w:val="00BA14C3"/>
    <w:rsid w:val="00BB2493"/>
    <w:rsid w:val="00BB27A2"/>
    <w:rsid w:val="00BB3B13"/>
    <w:rsid w:val="00BC2110"/>
    <w:rsid w:val="00BC49E7"/>
    <w:rsid w:val="00BC64DB"/>
    <w:rsid w:val="00BD095C"/>
    <w:rsid w:val="00BD12D1"/>
    <w:rsid w:val="00BD2171"/>
    <w:rsid w:val="00BE1254"/>
    <w:rsid w:val="00BE1317"/>
    <w:rsid w:val="00BE2A79"/>
    <w:rsid w:val="00BE2FE9"/>
    <w:rsid w:val="00BF5AD9"/>
    <w:rsid w:val="00BF6776"/>
    <w:rsid w:val="00C005CE"/>
    <w:rsid w:val="00C007C7"/>
    <w:rsid w:val="00C01138"/>
    <w:rsid w:val="00C02760"/>
    <w:rsid w:val="00C0443C"/>
    <w:rsid w:val="00C117ED"/>
    <w:rsid w:val="00C12EFF"/>
    <w:rsid w:val="00C170FE"/>
    <w:rsid w:val="00C17311"/>
    <w:rsid w:val="00C22C40"/>
    <w:rsid w:val="00C261F6"/>
    <w:rsid w:val="00C27D05"/>
    <w:rsid w:val="00C30A01"/>
    <w:rsid w:val="00C36275"/>
    <w:rsid w:val="00C37F47"/>
    <w:rsid w:val="00C42E6C"/>
    <w:rsid w:val="00C46A0A"/>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17AD0"/>
    <w:rsid w:val="00D2400A"/>
    <w:rsid w:val="00D41BE3"/>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B68E4"/>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22AB"/>
    <w:rsid w:val="00E740F7"/>
    <w:rsid w:val="00E750D8"/>
    <w:rsid w:val="00E75C5E"/>
    <w:rsid w:val="00E90A55"/>
    <w:rsid w:val="00E94D9A"/>
    <w:rsid w:val="00EA4EBD"/>
    <w:rsid w:val="00EB4BCC"/>
    <w:rsid w:val="00EC1E2B"/>
    <w:rsid w:val="00ED120D"/>
    <w:rsid w:val="00ED3825"/>
    <w:rsid w:val="00EE3E0A"/>
    <w:rsid w:val="00EE434A"/>
    <w:rsid w:val="00EE54C2"/>
    <w:rsid w:val="00EE6807"/>
    <w:rsid w:val="00F00009"/>
    <w:rsid w:val="00F02A8E"/>
    <w:rsid w:val="00F04418"/>
    <w:rsid w:val="00F1097A"/>
    <w:rsid w:val="00F13C3B"/>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2EE5"/>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 w:type="paragraph" w:customStyle="1" w:styleId="para">
    <w:name w:val="para"/>
    <w:basedOn w:val="Normal"/>
    <w:link w:val="paraChar"/>
    <w:qFormat/>
    <w:rsid w:val="00FE2EE5"/>
    <w:pPr>
      <w:spacing w:after="200" w:line="276" w:lineRule="auto"/>
    </w:pPr>
    <w:rPr>
      <w:rFonts w:ascii="Verdana" w:eastAsia="Calibri" w:hAnsi="Verdana"/>
      <w:sz w:val="20"/>
      <w:szCs w:val="22"/>
      <w:lang w:val="en-ZA"/>
    </w:rPr>
  </w:style>
  <w:style w:type="character" w:customStyle="1" w:styleId="paraChar">
    <w:name w:val="para Char"/>
    <w:link w:val="para"/>
    <w:rsid w:val="00FE2EE5"/>
    <w:rPr>
      <w:rFonts w:ascii="Verdana" w:eastAsia="Calibri" w:hAnsi="Verdana"/>
      <w:szCs w:val="22"/>
      <w:lang w:val="en-ZA"/>
    </w:rPr>
  </w:style>
  <w:style w:type="character" w:styleId="CommentReference">
    <w:name w:val="annotation reference"/>
    <w:uiPriority w:val="99"/>
    <w:semiHidden/>
    <w:unhideWhenUsed/>
    <w:rsid w:val="00FE2EE5"/>
    <w:rPr>
      <w:sz w:val="16"/>
      <w:szCs w:val="16"/>
    </w:rPr>
  </w:style>
  <w:style w:type="paragraph" w:styleId="CommentText">
    <w:name w:val="annotation text"/>
    <w:basedOn w:val="Normal"/>
    <w:link w:val="CommentTextChar"/>
    <w:uiPriority w:val="99"/>
    <w:semiHidden/>
    <w:unhideWhenUsed/>
    <w:rsid w:val="00FE2EE5"/>
    <w:pPr>
      <w:spacing w:after="200" w:line="276" w:lineRule="auto"/>
    </w:pPr>
    <w:rPr>
      <w:rFonts w:ascii="Verdana" w:eastAsia="Calibri" w:hAnsi="Verdana"/>
      <w:sz w:val="20"/>
      <w:lang w:val="en-ZA"/>
    </w:rPr>
  </w:style>
  <w:style w:type="character" w:customStyle="1" w:styleId="CommentTextChar">
    <w:name w:val="Comment Text Char"/>
    <w:basedOn w:val="DefaultParagraphFont"/>
    <w:link w:val="CommentText"/>
    <w:uiPriority w:val="99"/>
    <w:semiHidden/>
    <w:rsid w:val="00FE2EE5"/>
    <w:rPr>
      <w:rFonts w:ascii="Verdana" w:eastAsia="Calibri" w:hAnsi="Verdana"/>
      <w:lang w:val="en-ZA"/>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11681118">
      <w:bodyDiv w:val="1"/>
      <w:marLeft w:val="0"/>
      <w:marRight w:val="0"/>
      <w:marTop w:val="0"/>
      <w:marBottom w:val="0"/>
      <w:divBdr>
        <w:top w:val="none" w:sz="0" w:space="0" w:color="auto"/>
        <w:left w:val="none" w:sz="0" w:space="0" w:color="auto"/>
        <w:bottom w:val="none" w:sz="0" w:space="0" w:color="auto"/>
        <w:right w:val="none" w:sz="0" w:space="0" w:color="auto"/>
      </w:divBdr>
      <w:divsChild>
        <w:div w:id="844368169">
          <w:marLeft w:val="0"/>
          <w:marRight w:val="0"/>
          <w:marTop w:val="0"/>
          <w:marBottom w:val="0"/>
          <w:divBdr>
            <w:top w:val="none" w:sz="0" w:space="0" w:color="auto"/>
            <w:left w:val="none" w:sz="0" w:space="0" w:color="auto"/>
            <w:bottom w:val="none" w:sz="0" w:space="0" w:color="auto"/>
            <w:right w:val="none" w:sz="0" w:space="0" w:color="auto"/>
          </w:divBdr>
          <w:divsChild>
            <w:div w:id="11588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755779936">
      <w:bodyDiv w:val="1"/>
      <w:marLeft w:val="60"/>
      <w:marRight w:val="60"/>
      <w:marTop w:val="60"/>
      <w:marBottom w:val="15"/>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mailto:lfaro@juta.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2AF4-88C8-46BD-A2E1-1AB21EA7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58</TotalTime>
  <Pages>5</Pages>
  <Words>2550</Words>
  <Characters>13628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16146</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subject/>
  <dc:creator>ahess</dc:creator>
  <cp:keywords/>
  <dc:description/>
  <cp:lastModifiedBy>Your User Name</cp:lastModifiedBy>
  <cp:revision>5</cp:revision>
  <cp:lastPrinted>2014-02-07T13:09:00Z</cp:lastPrinted>
  <dcterms:created xsi:type="dcterms:W3CDTF">2014-04-01T12:44:00Z</dcterms:created>
  <dcterms:modified xsi:type="dcterms:W3CDTF">2014-04-02T06:14:00Z</dcterms:modified>
</cp:coreProperties>
</file>