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06" w:rsidRPr="009D0BCC" w:rsidRDefault="00456706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4BACC6"/>
          <w:sz w:val="18"/>
          <w:szCs w:val="18"/>
          <w:lang w:eastAsia="en-ZA"/>
        </w:rPr>
      </w:pPr>
    </w:p>
    <w:p w:rsidR="00714E1A" w:rsidRPr="009D0BCC" w:rsidRDefault="00714E1A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31849B"/>
          <w:sz w:val="18"/>
          <w:szCs w:val="18"/>
          <w:lang w:eastAsia="en-ZA"/>
        </w:rPr>
      </w:pPr>
    </w:p>
    <w:p w:rsidR="00714E1A" w:rsidRPr="009D0BCC" w:rsidRDefault="00714E1A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b/>
          <w:color w:val="31849B"/>
          <w:sz w:val="18"/>
          <w:szCs w:val="18"/>
          <w:lang w:eastAsia="en-ZA"/>
        </w:rPr>
      </w:pPr>
    </w:p>
    <w:p w:rsidR="00F00009" w:rsidRDefault="00287E62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b/>
          <w:color w:val="31849B"/>
          <w:sz w:val="32"/>
          <w:szCs w:val="32"/>
          <w:lang w:eastAsia="en-ZA"/>
        </w:rPr>
      </w:pPr>
      <w:r>
        <w:rPr>
          <w:rFonts w:ascii="Verdana" w:hAnsi="Verdana" w:cs="Arial"/>
          <w:b/>
          <w:color w:val="31849B"/>
          <w:sz w:val="32"/>
          <w:szCs w:val="32"/>
          <w:lang w:eastAsia="en-ZA"/>
        </w:rPr>
        <w:t>INDUSTRIAL LAW JOURNAL PREVIEW</w:t>
      </w:r>
    </w:p>
    <w:p w:rsidR="00287E62" w:rsidRDefault="00287E62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b/>
          <w:color w:val="31849B"/>
          <w:sz w:val="32"/>
          <w:szCs w:val="32"/>
          <w:lang w:eastAsia="en-ZA"/>
        </w:rPr>
      </w:pPr>
    </w:p>
    <w:p w:rsidR="00287E62" w:rsidRPr="00287E62" w:rsidRDefault="00287E62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color w:val="31849B"/>
          <w:sz w:val="32"/>
          <w:szCs w:val="32"/>
          <w:lang w:eastAsia="en-ZA"/>
        </w:rPr>
      </w:pPr>
      <w:r>
        <w:rPr>
          <w:rFonts w:ascii="Verdana" w:hAnsi="Verdana" w:cs="Arial"/>
          <w:color w:val="31849B"/>
          <w:sz w:val="32"/>
          <w:szCs w:val="32"/>
          <w:lang w:eastAsia="en-ZA"/>
        </w:rPr>
        <w:t>VOLUME 3</w:t>
      </w:r>
      <w:r w:rsidR="0042481A">
        <w:rPr>
          <w:rFonts w:ascii="Verdana" w:hAnsi="Verdana" w:cs="Arial"/>
          <w:color w:val="31849B"/>
          <w:sz w:val="32"/>
          <w:szCs w:val="32"/>
          <w:lang w:eastAsia="en-ZA"/>
        </w:rPr>
        <w:t>5</w:t>
      </w:r>
    </w:p>
    <w:p w:rsidR="000B0DB2" w:rsidRPr="006B12D4" w:rsidRDefault="000B0DB2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b/>
          <w:color w:val="31849B"/>
          <w:sz w:val="32"/>
          <w:szCs w:val="32"/>
          <w:lang w:eastAsia="en-ZA"/>
        </w:rPr>
      </w:pPr>
    </w:p>
    <w:p w:rsidR="00F00009" w:rsidRPr="006B12D4" w:rsidRDefault="00C46A0A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color w:val="31849B"/>
          <w:sz w:val="32"/>
          <w:szCs w:val="32"/>
          <w:lang w:eastAsia="en-ZA"/>
        </w:rPr>
      </w:pPr>
      <w:r>
        <w:rPr>
          <w:rFonts w:ascii="Verdana" w:hAnsi="Verdana" w:cs="Arial"/>
          <w:color w:val="31849B"/>
          <w:sz w:val="32"/>
          <w:szCs w:val="32"/>
          <w:lang w:eastAsia="en-ZA"/>
        </w:rPr>
        <w:t xml:space="preserve">FEBRUARY </w:t>
      </w:r>
      <w:r w:rsidR="00085C63" w:rsidRPr="006B12D4">
        <w:rPr>
          <w:rFonts w:ascii="Verdana" w:hAnsi="Verdana" w:cs="Arial"/>
          <w:color w:val="31849B"/>
          <w:sz w:val="32"/>
          <w:szCs w:val="32"/>
          <w:lang w:eastAsia="en-ZA"/>
        </w:rPr>
        <w:t>201</w:t>
      </w:r>
      <w:r w:rsidR="0042481A">
        <w:rPr>
          <w:rFonts w:ascii="Verdana" w:hAnsi="Verdana" w:cs="Arial"/>
          <w:color w:val="31849B"/>
          <w:sz w:val="32"/>
          <w:szCs w:val="32"/>
          <w:lang w:eastAsia="en-ZA"/>
        </w:rPr>
        <w:t>4</w:t>
      </w:r>
    </w:p>
    <w:p w:rsidR="00AD11DF" w:rsidRPr="009D0BCC" w:rsidRDefault="00AD11DF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4BACC6"/>
          <w:sz w:val="18"/>
          <w:szCs w:val="18"/>
          <w:lang w:eastAsia="en-ZA"/>
        </w:rPr>
      </w:pPr>
    </w:p>
    <w:p w:rsidR="00714E1A" w:rsidRPr="009D0BCC" w:rsidRDefault="00714E1A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4BACC6"/>
          <w:sz w:val="18"/>
          <w:szCs w:val="18"/>
          <w:lang w:eastAsia="en-ZA"/>
        </w:rPr>
      </w:pPr>
    </w:p>
    <w:p w:rsidR="00456706" w:rsidRPr="00FE2EE5" w:rsidRDefault="00456706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4BACC6"/>
          <w:sz w:val="18"/>
          <w:szCs w:val="18"/>
          <w:lang w:eastAsia="en-ZA"/>
        </w:rPr>
      </w:pPr>
    </w:p>
    <w:p w:rsidR="00287E62" w:rsidRPr="00EE6807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EE6807">
        <w:rPr>
          <w:rStyle w:val="Strong"/>
          <w:rFonts w:ascii="Verdana" w:hAnsi="Verdana"/>
          <w:sz w:val="18"/>
          <w:szCs w:val="18"/>
        </w:rPr>
        <w:t xml:space="preserve">Dear </w:t>
      </w:r>
      <w:r w:rsidRPr="00EE6807">
        <w:rPr>
          <w:rStyle w:val="Strong"/>
          <w:rFonts w:ascii="Verdana" w:hAnsi="Verdana"/>
          <w:i/>
          <w:sz w:val="18"/>
          <w:szCs w:val="18"/>
        </w:rPr>
        <w:t>Industrial Law Journal</w:t>
      </w:r>
      <w:r w:rsidRPr="00EE6807">
        <w:rPr>
          <w:rStyle w:val="Strong"/>
          <w:rFonts w:ascii="Verdana" w:hAnsi="Verdana"/>
          <w:sz w:val="18"/>
          <w:szCs w:val="18"/>
        </w:rPr>
        <w:t xml:space="preserve"> Subscriber</w:t>
      </w:r>
    </w:p>
    <w:p w:rsidR="00287E62" w:rsidRPr="00EE6807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EE6807">
        <w:rPr>
          <w:rFonts w:ascii="Verdana" w:hAnsi="Verdana"/>
          <w:sz w:val="18"/>
          <w:szCs w:val="18"/>
        </w:rPr>
        <w:t> </w:t>
      </w:r>
    </w:p>
    <w:p w:rsidR="00EE6807" w:rsidRPr="00EE6807" w:rsidRDefault="00287E62" w:rsidP="00EE6807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EE6807">
        <w:rPr>
          <w:rFonts w:ascii="Verdana" w:hAnsi="Verdana"/>
          <w:sz w:val="18"/>
          <w:szCs w:val="18"/>
        </w:rPr>
        <w:t xml:space="preserve">We take pleasure in presenting the </w:t>
      </w:r>
      <w:r w:rsidR="00D17AD0" w:rsidRPr="00EE6807">
        <w:rPr>
          <w:rFonts w:ascii="Verdana" w:hAnsi="Verdana"/>
          <w:sz w:val="18"/>
          <w:szCs w:val="18"/>
        </w:rPr>
        <w:t>February</w:t>
      </w:r>
      <w:r w:rsidR="0042481A" w:rsidRPr="00EE6807">
        <w:rPr>
          <w:rFonts w:ascii="Verdana" w:hAnsi="Verdana"/>
          <w:sz w:val="18"/>
          <w:szCs w:val="18"/>
        </w:rPr>
        <w:t xml:space="preserve"> </w:t>
      </w:r>
      <w:r w:rsidRPr="00EE6807">
        <w:rPr>
          <w:rFonts w:ascii="Verdana" w:hAnsi="Verdana"/>
          <w:sz w:val="18"/>
          <w:szCs w:val="18"/>
        </w:rPr>
        <w:t>201</w:t>
      </w:r>
      <w:r w:rsidR="0042481A" w:rsidRPr="00EE6807">
        <w:rPr>
          <w:rFonts w:ascii="Verdana" w:hAnsi="Verdana"/>
          <w:sz w:val="18"/>
          <w:szCs w:val="18"/>
        </w:rPr>
        <w:t>4</w:t>
      </w:r>
      <w:r w:rsidRPr="00EE6807">
        <w:rPr>
          <w:rFonts w:ascii="Verdana" w:hAnsi="Verdana"/>
          <w:sz w:val="18"/>
          <w:szCs w:val="18"/>
        </w:rPr>
        <w:t xml:space="preserve"> issue of the monthly </w:t>
      </w:r>
      <w:r w:rsidRPr="00EE6807">
        <w:rPr>
          <w:rStyle w:val="Emphasis"/>
          <w:rFonts w:ascii="Verdana" w:hAnsi="Verdana"/>
          <w:sz w:val="18"/>
          <w:szCs w:val="18"/>
        </w:rPr>
        <w:t>Industrial Law Journal Preview</w:t>
      </w:r>
      <w:r w:rsidRPr="00EE6807">
        <w:rPr>
          <w:rFonts w:ascii="Verdana" w:hAnsi="Verdana"/>
          <w:sz w:val="18"/>
          <w:szCs w:val="18"/>
        </w:rPr>
        <w:t xml:space="preserve">, authored by the editors of the </w:t>
      </w:r>
      <w:r w:rsidRPr="00EE6807">
        <w:rPr>
          <w:rFonts w:ascii="Verdana" w:hAnsi="Verdana"/>
          <w:i/>
          <w:sz w:val="18"/>
          <w:szCs w:val="18"/>
        </w:rPr>
        <w:t>ILJ</w:t>
      </w:r>
      <w:r w:rsidRPr="00EE6807">
        <w:rPr>
          <w:rFonts w:ascii="Verdana" w:hAnsi="Verdana"/>
          <w:sz w:val="18"/>
          <w:szCs w:val="18"/>
        </w:rPr>
        <w:t xml:space="preserve">: C Cooper, A Landman, C Vosloo and L Williams-de Beer. </w:t>
      </w:r>
      <w:r w:rsidR="00EE6807" w:rsidRPr="00EE6807">
        <w:rPr>
          <w:rFonts w:ascii="Verdana" w:hAnsi="Verdana"/>
          <w:sz w:val="18"/>
          <w:szCs w:val="18"/>
        </w:rPr>
        <w:t xml:space="preserve"> </w:t>
      </w:r>
    </w:p>
    <w:p w:rsidR="00287E62" w:rsidRPr="00EE6807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287E62" w:rsidRPr="00EE6807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EE6807">
        <w:rPr>
          <w:rStyle w:val="Strong"/>
          <w:rFonts w:ascii="Verdana" w:hAnsi="Verdana"/>
          <w:sz w:val="18"/>
          <w:szCs w:val="18"/>
        </w:rPr>
        <w:t>Please note: </w:t>
      </w:r>
      <w:r w:rsidRPr="00EE6807">
        <w:rPr>
          <w:rFonts w:ascii="Verdana" w:hAnsi="Verdana"/>
          <w:sz w:val="18"/>
          <w:szCs w:val="18"/>
        </w:rPr>
        <w:t xml:space="preserve"> </w:t>
      </w:r>
      <w:r w:rsidRPr="00EE6807">
        <w:rPr>
          <w:rStyle w:val="Strong"/>
          <w:rFonts w:ascii="Verdana" w:hAnsi="Verdana"/>
          <w:sz w:val="18"/>
          <w:szCs w:val="18"/>
        </w:rPr>
        <w:t xml:space="preserve">This newsletter serves as a preview of the printed and the electronic </w:t>
      </w:r>
      <w:r w:rsidRPr="00EE6807">
        <w:rPr>
          <w:rStyle w:val="Emphasis"/>
          <w:rFonts w:ascii="Verdana" w:hAnsi="Verdana"/>
          <w:b/>
          <w:bCs/>
          <w:sz w:val="18"/>
          <w:szCs w:val="18"/>
        </w:rPr>
        <w:t>Industrial Law Journal</w:t>
      </w:r>
      <w:r w:rsidRPr="00EE6807">
        <w:rPr>
          <w:rStyle w:val="Strong"/>
          <w:rFonts w:ascii="Verdana" w:hAnsi="Verdana"/>
          <w:sz w:val="18"/>
          <w:szCs w:val="18"/>
        </w:rPr>
        <w:t xml:space="preserve">. At the time of this dissemination, the full-length cases and determinations are still being prepared for publication in the </w:t>
      </w:r>
      <w:r w:rsidRPr="00EE6807">
        <w:rPr>
          <w:rStyle w:val="Emphasis"/>
          <w:rFonts w:ascii="Verdana" w:hAnsi="Verdana"/>
          <w:b/>
          <w:bCs/>
          <w:sz w:val="18"/>
          <w:szCs w:val="18"/>
        </w:rPr>
        <w:t>Industrial Law Journal</w:t>
      </w:r>
      <w:r w:rsidRPr="00EE6807">
        <w:rPr>
          <w:rStyle w:val="Strong"/>
          <w:rFonts w:ascii="Verdana" w:hAnsi="Verdana"/>
          <w:sz w:val="18"/>
          <w:szCs w:val="18"/>
        </w:rPr>
        <w:t xml:space="preserve">. The material mentioned in this newsletter only becomes available to subscribers when the </w:t>
      </w:r>
      <w:r w:rsidRPr="00EE6807">
        <w:rPr>
          <w:rStyle w:val="Emphasis"/>
          <w:rFonts w:ascii="Verdana" w:hAnsi="Verdana"/>
          <w:b/>
          <w:bCs/>
          <w:sz w:val="18"/>
          <w:szCs w:val="18"/>
        </w:rPr>
        <w:t xml:space="preserve">Industrial Law Journal </w:t>
      </w:r>
      <w:r w:rsidRPr="00EE6807">
        <w:rPr>
          <w:rStyle w:val="Strong"/>
          <w:rFonts w:ascii="Verdana" w:hAnsi="Verdana"/>
          <w:sz w:val="18"/>
          <w:szCs w:val="18"/>
        </w:rPr>
        <w:t>is published.</w:t>
      </w:r>
    </w:p>
    <w:p w:rsidR="00287E62" w:rsidRPr="00EE6807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EE6807">
        <w:rPr>
          <w:rFonts w:ascii="Verdana" w:hAnsi="Verdana"/>
          <w:sz w:val="18"/>
          <w:szCs w:val="18"/>
        </w:rPr>
        <w:t> </w:t>
      </w:r>
    </w:p>
    <w:p w:rsidR="00287E62" w:rsidRPr="00EE6807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EE6807">
        <w:rPr>
          <w:rFonts w:ascii="Verdana" w:hAnsi="Verdana"/>
          <w:sz w:val="18"/>
          <w:szCs w:val="18"/>
        </w:rPr>
        <w:t xml:space="preserve">Please forward any comments and suggestions regarding the </w:t>
      </w:r>
      <w:r w:rsidRPr="00EE6807">
        <w:rPr>
          <w:rFonts w:ascii="Verdana" w:hAnsi="Verdana"/>
          <w:i/>
          <w:sz w:val="18"/>
          <w:szCs w:val="18"/>
        </w:rPr>
        <w:t>Industrial Law Journal</w:t>
      </w:r>
      <w:r w:rsidRPr="00EE6807">
        <w:rPr>
          <w:rFonts w:ascii="Verdana" w:hAnsi="Verdana"/>
          <w:sz w:val="18"/>
          <w:szCs w:val="18"/>
        </w:rPr>
        <w:t xml:space="preserve"> preview to the publisher, Anita Kleinsmidt, </w:t>
      </w:r>
      <w:hyperlink r:id="rId8" w:history="1">
        <w:r w:rsidRPr="00EE6807">
          <w:rPr>
            <w:rStyle w:val="Hyperlink"/>
            <w:rFonts w:ascii="Verdana" w:hAnsi="Verdana"/>
            <w:sz w:val="18"/>
            <w:szCs w:val="18"/>
          </w:rPr>
          <w:t>akleinsmidt@juta.co.za</w:t>
        </w:r>
      </w:hyperlink>
      <w:r w:rsidRPr="00EE6807">
        <w:rPr>
          <w:rFonts w:ascii="Verdana" w:hAnsi="Verdana"/>
          <w:sz w:val="18"/>
          <w:szCs w:val="18"/>
        </w:rPr>
        <w:t> </w:t>
      </w:r>
    </w:p>
    <w:p w:rsidR="00EE6807" w:rsidRPr="00EE6807" w:rsidRDefault="00EE6807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EE6807" w:rsidRPr="00EE6807" w:rsidRDefault="00EE6807" w:rsidP="00EE6807">
      <w:pPr>
        <w:spacing w:after="200"/>
        <w:rPr>
          <w:rFonts w:ascii="Verdana" w:hAnsi="Verdana"/>
          <w:b/>
          <w:sz w:val="18"/>
          <w:szCs w:val="18"/>
        </w:rPr>
      </w:pPr>
      <w:proofErr w:type="spellStart"/>
      <w:r w:rsidRPr="00EE6807">
        <w:rPr>
          <w:rFonts w:ascii="Verdana" w:hAnsi="Verdana" w:cs="Arial"/>
          <w:b/>
          <w:i/>
          <w:sz w:val="18"/>
          <w:szCs w:val="18"/>
          <w:lang w:eastAsia="en-ZA"/>
        </w:rPr>
        <w:t>Legalbrief</w:t>
      </w:r>
      <w:proofErr w:type="spellEnd"/>
      <w:r w:rsidRPr="00EE6807">
        <w:rPr>
          <w:rFonts w:ascii="Verdana" w:hAnsi="Verdana" w:cs="Arial"/>
          <w:b/>
          <w:i/>
          <w:sz w:val="18"/>
          <w:szCs w:val="18"/>
          <w:lang w:eastAsia="en-ZA"/>
        </w:rPr>
        <w:t xml:space="preserve"> Workplace – weekly </w:t>
      </w:r>
      <w:proofErr w:type="spellStart"/>
      <w:r w:rsidRPr="00EE6807">
        <w:rPr>
          <w:rFonts w:ascii="Verdana" w:hAnsi="Verdana" w:cs="Arial"/>
          <w:b/>
          <w:i/>
          <w:sz w:val="18"/>
          <w:szCs w:val="18"/>
          <w:lang w:eastAsia="en-ZA"/>
        </w:rPr>
        <w:t>Juta</w:t>
      </w:r>
      <w:proofErr w:type="spellEnd"/>
      <w:r w:rsidRPr="00EE6807">
        <w:rPr>
          <w:rFonts w:ascii="Verdana" w:hAnsi="Verdana" w:cs="Arial"/>
          <w:b/>
          <w:i/>
          <w:sz w:val="18"/>
          <w:szCs w:val="18"/>
          <w:lang w:eastAsia="en-ZA"/>
        </w:rPr>
        <w:t xml:space="preserve"> current awareness email service </w:t>
      </w:r>
    </w:p>
    <w:p w:rsidR="00EE6807" w:rsidRPr="00EE6807" w:rsidRDefault="00EE6807" w:rsidP="00EE6807">
      <w:pPr>
        <w:spacing w:after="200" w:line="240" w:lineRule="atLeast"/>
        <w:jc w:val="both"/>
        <w:rPr>
          <w:rFonts w:ascii="Verdana" w:hAnsi="Verdana"/>
          <w:sz w:val="18"/>
          <w:szCs w:val="18"/>
        </w:rPr>
      </w:pPr>
      <w:proofErr w:type="spellStart"/>
      <w:r w:rsidRPr="00EE6807">
        <w:rPr>
          <w:rFonts w:ascii="Verdana" w:hAnsi="Verdana"/>
          <w:i/>
          <w:sz w:val="18"/>
          <w:szCs w:val="18"/>
        </w:rPr>
        <w:t>Legalbrief</w:t>
      </w:r>
      <w:proofErr w:type="spellEnd"/>
      <w:r w:rsidRPr="00EE6807">
        <w:rPr>
          <w:rFonts w:ascii="Verdana" w:hAnsi="Verdana"/>
          <w:i/>
          <w:sz w:val="18"/>
          <w:szCs w:val="18"/>
        </w:rPr>
        <w:t xml:space="preserve"> Workplace</w:t>
      </w:r>
      <w:r w:rsidRPr="00EE6807">
        <w:rPr>
          <w:rFonts w:ascii="Verdana" w:hAnsi="Verdana"/>
          <w:sz w:val="18"/>
          <w:szCs w:val="18"/>
        </w:rPr>
        <w:t xml:space="preserve"> provides a concise roundup of a broad sweep of topical news coverage gleaned by our team of seasoned journalists from reputable local and international media sources. Subscribers to this specialist email newsletter will enjoy access to </w:t>
      </w:r>
      <w:proofErr w:type="spellStart"/>
      <w:r w:rsidRPr="00EE6807">
        <w:rPr>
          <w:rFonts w:ascii="Verdana" w:hAnsi="Verdana"/>
          <w:sz w:val="18"/>
          <w:szCs w:val="18"/>
        </w:rPr>
        <w:t>labour</w:t>
      </w:r>
      <w:proofErr w:type="spellEnd"/>
      <w:r w:rsidRPr="00EE6807">
        <w:rPr>
          <w:rFonts w:ascii="Verdana" w:hAnsi="Verdana"/>
          <w:sz w:val="18"/>
          <w:szCs w:val="18"/>
        </w:rPr>
        <w:t xml:space="preserve">-focused news summaries and analysis pieces, latest developments in </w:t>
      </w:r>
      <w:proofErr w:type="spellStart"/>
      <w:r w:rsidRPr="00EE6807">
        <w:rPr>
          <w:rFonts w:ascii="Verdana" w:hAnsi="Verdana"/>
          <w:sz w:val="18"/>
          <w:szCs w:val="18"/>
        </w:rPr>
        <w:t>labour</w:t>
      </w:r>
      <w:proofErr w:type="spellEnd"/>
      <w:r w:rsidRPr="00EE6807">
        <w:rPr>
          <w:rFonts w:ascii="Verdana" w:hAnsi="Verdana"/>
          <w:sz w:val="18"/>
          <w:szCs w:val="18"/>
        </w:rPr>
        <w:t xml:space="preserve"> legislation and case law, and relevant parliamentary news drawn from </w:t>
      </w:r>
      <w:proofErr w:type="spellStart"/>
      <w:r w:rsidRPr="00EE6807">
        <w:rPr>
          <w:rFonts w:ascii="Verdana" w:hAnsi="Verdana"/>
          <w:i/>
          <w:sz w:val="18"/>
          <w:szCs w:val="18"/>
        </w:rPr>
        <w:t>Legalbrief</w:t>
      </w:r>
      <w:proofErr w:type="spellEnd"/>
      <w:r w:rsidRPr="00EE6807">
        <w:rPr>
          <w:rFonts w:ascii="Verdana" w:hAnsi="Verdana"/>
          <w:i/>
          <w:sz w:val="18"/>
          <w:szCs w:val="18"/>
        </w:rPr>
        <w:t xml:space="preserve"> Policy Watch</w:t>
      </w:r>
      <w:r w:rsidRPr="00EE6807">
        <w:rPr>
          <w:rFonts w:ascii="Verdana" w:hAnsi="Verdana"/>
          <w:sz w:val="18"/>
          <w:szCs w:val="18"/>
        </w:rPr>
        <w:t xml:space="preserve">. It will prove essential reading to human resource and </w:t>
      </w:r>
      <w:proofErr w:type="spellStart"/>
      <w:r w:rsidRPr="00EE6807">
        <w:rPr>
          <w:rFonts w:ascii="Verdana" w:hAnsi="Verdana"/>
          <w:sz w:val="18"/>
          <w:szCs w:val="18"/>
        </w:rPr>
        <w:t>labour</w:t>
      </w:r>
      <w:proofErr w:type="spellEnd"/>
      <w:r w:rsidRPr="00EE6807">
        <w:rPr>
          <w:rFonts w:ascii="Verdana" w:hAnsi="Verdana"/>
          <w:sz w:val="18"/>
          <w:szCs w:val="18"/>
        </w:rPr>
        <w:t xml:space="preserve"> relations practitioners, </w:t>
      </w:r>
      <w:proofErr w:type="spellStart"/>
      <w:r w:rsidRPr="00EE6807">
        <w:rPr>
          <w:rFonts w:ascii="Verdana" w:hAnsi="Verdana"/>
          <w:sz w:val="18"/>
          <w:szCs w:val="18"/>
        </w:rPr>
        <w:t>labour</w:t>
      </w:r>
      <w:proofErr w:type="spellEnd"/>
      <w:r w:rsidRPr="00EE6807">
        <w:rPr>
          <w:rFonts w:ascii="Verdana" w:hAnsi="Verdana"/>
          <w:sz w:val="18"/>
          <w:szCs w:val="18"/>
        </w:rPr>
        <w:t xml:space="preserve"> lawyers, CCMA officials, bargaining councils and private arbitrators, </w:t>
      </w:r>
      <w:proofErr w:type="spellStart"/>
      <w:r w:rsidRPr="00EE6807">
        <w:rPr>
          <w:rFonts w:ascii="Verdana" w:hAnsi="Verdana"/>
          <w:sz w:val="18"/>
          <w:szCs w:val="18"/>
        </w:rPr>
        <w:t>labour</w:t>
      </w:r>
      <w:proofErr w:type="spellEnd"/>
      <w:r w:rsidRPr="00EE6807">
        <w:rPr>
          <w:rFonts w:ascii="Verdana" w:hAnsi="Verdana"/>
          <w:sz w:val="18"/>
          <w:szCs w:val="18"/>
        </w:rPr>
        <w:t xml:space="preserve"> academics, shop stewards and trade union officials, business leaders and line managers in both government and the private sector responsible for a HR/LR function.</w:t>
      </w:r>
    </w:p>
    <w:p w:rsidR="00EE6807" w:rsidRPr="00EE6807" w:rsidRDefault="00EE6807" w:rsidP="00EE6807">
      <w:pPr>
        <w:spacing w:after="200"/>
        <w:rPr>
          <w:rFonts w:ascii="Verdana" w:hAnsi="Verdana"/>
          <w:sz w:val="18"/>
          <w:szCs w:val="18"/>
        </w:rPr>
      </w:pPr>
      <w:r w:rsidRPr="00EE6807">
        <w:rPr>
          <w:rFonts w:ascii="Verdana" w:hAnsi="Verdana"/>
          <w:sz w:val="18"/>
          <w:szCs w:val="18"/>
        </w:rPr>
        <w:t xml:space="preserve">For a quotation or to request a free trial or to subscribe please email: </w:t>
      </w:r>
      <w:hyperlink r:id="rId9" w:history="1">
        <w:r w:rsidRPr="00EE6807">
          <w:rPr>
            <w:rStyle w:val="Hyperlink"/>
            <w:rFonts w:ascii="Verdana" w:hAnsi="Verdana"/>
            <w:sz w:val="18"/>
            <w:szCs w:val="18"/>
          </w:rPr>
          <w:t>lfaro@juta.co.za</w:t>
        </w:r>
      </w:hyperlink>
      <w:r w:rsidRPr="00EE6807">
        <w:rPr>
          <w:rFonts w:ascii="Verdana" w:hAnsi="Verdana"/>
          <w:sz w:val="18"/>
          <w:szCs w:val="18"/>
        </w:rPr>
        <w:t xml:space="preserve"> or visit </w:t>
      </w:r>
      <w:hyperlink r:id="rId10" w:history="1">
        <w:r w:rsidRPr="00EE6807">
          <w:rPr>
            <w:rStyle w:val="Hyperlink"/>
            <w:rFonts w:ascii="Verdana" w:hAnsi="Verdana"/>
            <w:sz w:val="18"/>
            <w:szCs w:val="18"/>
          </w:rPr>
          <w:t>www.legalbrief.co.za</w:t>
        </w:r>
      </w:hyperlink>
    </w:p>
    <w:p w:rsidR="00287E62" w:rsidRPr="00EE6807" w:rsidRDefault="00287E62" w:rsidP="0038565B">
      <w:pPr>
        <w:spacing w:line="240" w:lineRule="atLeast"/>
        <w:jc w:val="both"/>
        <w:rPr>
          <w:rStyle w:val="Strong"/>
          <w:rFonts w:ascii="Verdana" w:hAnsi="Verdana"/>
          <w:sz w:val="18"/>
          <w:szCs w:val="18"/>
        </w:rPr>
      </w:pPr>
    </w:p>
    <w:p w:rsidR="00287E62" w:rsidRPr="00EE6807" w:rsidRDefault="00287E62" w:rsidP="0038565B">
      <w:pPr>
        <w:spacing w:line="240" w:lineRule="atLeast"/>
        <w:jc w:val="both"/>
        <w:rPr>
          <w:rFonts w:ascii="Verdana" w:hAnsi="Verdana"/>
          <w:b/>
          <w:sz w:val="18"/>
          <w:szCs w:val="18"/>
        </w:rPr>
      </w:pPr>
      <w:r w:rsidRPr="00EE6807">
        <w:rPr>
          <w:rStyle w:val="Strong"/>
          <w:rFonts w:ascii="Verdana" w:hAnsi="Verdana"/>
          <w:b w:val="0"/>
          <w:sz w:val="18"/>
          <w:szCs w:val="18"/>
        </w:rPr>
        <w:t>We welcome your feedback</w:t>
      </w:r>
    </w:p>
    <w:p w:rsidR="00287E62" w:rsidRPr="009D0BCC" w:rsidRDefault="00287E62" w:rsidP="0038565B">
      <w:pPr>
        <w:spacing w:line="240" w:lineRule="atLeast"/>
        <w:jc w:val="both"/>
        <w:rPr>
          <w:rStyle w:val="Strong"/>
          <w:rFonts w:ascii="Verdana" w:hAnsi="Verdana"/>
          <w:sz w:val="18"/>
          <w:szCs w:val="18"/>
        </w:rPr>
      </w:pPr>
    </w:p>
    <w:p w:rsidR="00287E62" w:rsidRPr="009D0BCC" w:rsidRDefault="00287E62" w:rsidP="0038565B">
      <w:pPr>
        <w:spacing w:line="240" w:lineRule="atLeast"/>
        <w:jc w:val="both"/>
        <w:rPr>
          <w:rStyle w:val="Strong"/>
          <w:rFonts w:ascii="Verdana" w:hAnsi="Verdana"/>
          <w:sz w:val="18"/>
          <w:szCs w:val="18"/>
        </w:rPr>
      </w:pPr>
      <w:r w:rsidRPr="009D0BCC">
        <w:rPr>
          <w:rStyle w:val="Strong"/>
          <w:rFonts w:ascii="Verdana" w:hAnsi="Verdana"/>
          <w:sz w:val="18"/>
          <w:szCs w:val="18"/>
        </w:rPr>
        <w:t>Kind regards</w:t>
      </w:r>
    </w:p>
    <w:p w:rsidR="00287E62" w:rsidRPr="009D0BCC" w:rsidRDefault="00287E62" w:rsidP="0038565B">
      <w:pPr>
        <w:spacing w:line="240" w:lineRule="atLeast"/>
        <w:jc w:val="both"/>
        <w:rPr>
          <w:rStyle w:val="Strong"/>
          <w:rFonts w:ascii="Verdana" w:hAnsi="Verdana"/>
          <w:sz w:val="18"/>
          <w:szCs w:val="18"/>
        </w:rPr>
      </w:pPr>
      <w:r w:rsidRPr="009D0BCC">
        <w:rPr>
          <w:rFonts w:ascii="Verdana" w:hAnsi="Verdana"/>
          <w:b/>
          <w:bCs/>
          <w:sz w:val="18"/>
          <w:szCs w:val="18"/>
        </w:rPr>
        <w:br/>
      </w:r>
      <w:r w:rsidRPr="009D0BCC">
        <w:rPr>
          <w:rStyle w:val="Strong"/>
          <w:rFonts w:ascii="Verdana" w:hAnsi="Verdana"/>
          <w:sz w:val="18"/>
          <w:szCs w:val="18"/>
        </w:rPr>
        <w:t>Juta General Law</w:t>
      </w:r>
    </w:p>
    <w:p w:rsidR="00F00009" w:rsidRPr="006B12D4" w:rsidRDefault="000B0DB2" w:rsidP="0038565B">
      <w:pPr>
        <w:spacing w:line="240" w:lineRule="atLeast"/>
        <w:jc w:val="both"/>
        <w:rPr>
          <w:rFonts w:ascii="Verdana" w:hAnsi="Verdana" w:cs="Arial"/>
          <w:b/>
          <w:color w:val="31849B"/>
          <w:sz w:val="32"/>
          <w:szCs w:val="32"/>
          <w:lang w:eastAsia="en-ZA"/>
        </w:rPr>
      </w:pPr>
      <w:r w:rsidRPr="009D0BCC">
        <w:rPr>
          <w:rStyle w:val="Strong"/>
          <w:rFonts w:ascii="Verdana" w:hAnsi="Verdana"/>
          <w:sz w:val="18"/>
          <w:szCs w:val="18"/>
        </w:rPr>
        <w:br w:type="page"/>
      </w:r>
      <w:r w:rsidR="00F00009" w:rsidRPr="006B12D4">
        <w:rPr>
          <w:rFonts w:ascii="Verdana" w:hAnsi="Verdana" w:cs="Arial"/>
          <w:b/>
          <w:color w:val="31849B"/>
          <w:sz w:val="32"/>
          <w:szCs w:val="32"/>
          <w:lang w:eastAsia="en-ZA"/>
        </w:rPr>
        <w:lastRenderedPageBreak/>
        <w:t xml:space="preserve">HIGHLIGHTS </w:t>
      </w:r>
      <w:r w:rsidR="0003358C" w:rsidRPr="006B12D4">
        <w:rPr>
          <w:rFonts w:ascii="Verdana" w:hAnsi="Verdana" w:cs="Arial"/>
          <w:b/>
          <w:color w:val="31849B"/>
          <w:sz w:val="32"/>
          <w:szCs w:val="32"/>
          <w:lang w:eastAsia="en-ZA"/>
        </w:rPr>
        <w:t>OF</w:t>
      </w:r>
      <w:r w:rsidR="00F00009" w:rsidRPr="006B12D4">
        <w:rPr>
          <w:rFonts w:ascii="Verdana" w:hAnsi="Verdana" w:cs="Arial"/>
          <w:b/>
          <w:color w:val="31849B"/>
          <w:sz w:val="32"/>
          <w:szCs w:val="32"/>
          <w:lang w:eastAsia="en-ZA"/>
        </w:rPr>
        <w:t xml:space="preserve"> THE INDUSTRIAL LAW REPORTS</w:t>
      </w:r>
    </w:p>
    <w:p w:rsidR="009B354E" w:rsidRPr="009D0BCC" w:rsidRDefault="009B354E" w:rsidP="0038565B">
      <w:pPr>
        <w:autoSpaceDE w:val="0"/>
        <w:autoSpaceDN w:val="0"/>
        <w:adjustRightInd w:val="0"/>
        <w:spacing w:line="240" w:lineRule="atLeast"/>
        <w:rPr>
          <w:rFonts w:ascii="Verdana" w:hAnsi="Verdana" w:cs="HelveticaLTStd-Roman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Appeals to Constitutional Court</w:t>
      </w:r>
    </w:p>
    <w:p w:rsidR="00C46A0A" w:rsidRPr="002074E5" w:rsidRDefault="00C46A0A" w:rsidP="00C46A0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 xml:space="preserve">The Constitutional Court refused the applicant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Mbatha v University of</w:t>
      </w:r>
      <w:r w:rsidR="00C46A0A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Zululand </w:t>
      </w:r>
      <w:r w:rsidRPr="002074E5">
        <w:rPr>
          <w:rFonts w:ascii="Verdana" w:hAnsi="Verdana" w:cs="BemboStd"/>
          <w:sz w:val="18"/>
          <w:szCs w:val="18"/>
        </w:rPr>
        <w:t>(at 349) leave to appeal from a judgment of the Labour Appeal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Court, in which that court found that the applicant had ceased to be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an employee of the respondent university, and had been transferred to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another entity by agreement with that party. The CC endorsed the LAC’s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finding and found that, in any event, the dispute was purely factual and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raised no constitutional issues. The court did not accept the applicant’s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claim that his constitutional right to dignity had been infringed when he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had been transferred without his explicit consent, and found that claim to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be ‘fanciful’.</w:t>
      </w:r>
    </w:p>
    <w:p w:rsidR="00C46A0A" w:rsidRPr="002074E5" w:rsidRDefault="00C46A0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Dismissal – When an Appropriate Penalty</w:t>
      </w:r>
    </w:p>
    <w:p w:rsidR="00C46A0A" w:rsidRPr="002074E5" w:rsidRDefault="00C46A0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>The Supreme Court of Appeal has now further endorsed earlier judgments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the Labour Court and Labour Appeal Court in which those courts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found that dismissal was not an appropriate penalty for an employee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who absented herself from work for five weeks without leave in order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to complete her training and initiation as a sangoma, to which she had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received a calling.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Kievits Kroon Country Estate (Pty) Ltd v Mmoledi &amp;</w:t>
      </w:r>
      <w:r w:rsidR="00C46A0A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others </w:t>
      </w:r>
      <w:r w:rsidRPr="002074E5">
        <w:rPr>
          <w:rFonts w:ascii="Verdana" w:hAnsi="Verdana" w:cs="BemboStd"/>
          <w:sz w:val="18"/>
          <w:szCs w:val="18"/>
        </w:rPr>
        <w:t>(at 406) the SCA accepted that the employee genuinely believed that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she was sick because she saw visions of her ancestors, and feared that had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she not completed the training her health would have been endangered.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court contrasted the approach of conventional medicine, which uses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material causation’ to treat illness, with that of traditional medicine, which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generally looks towards the ‘spiritual’ origin, and expressed the view that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SA courts are equipped to deal with disputes arising from conventional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medicine, but are not permitted to evaluate the acceptability, logic, or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comprehensibility of traditional beliefs. They are concerned only with the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sincerity of the adherent’s belief and whether it was being invoked for an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ulterior motive. The employee’s beliefs being sincere, the court endorsed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original commissioner’s finding that her failure to obey her employer’s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order to return to work was justified and reasonable, and that dismissal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was not appropriate.</w:t>
      </w:r>
    </w:p>
    <w:p w:rsidR="00C46A0A" w:rsidRPr="002074E5" w:rsidRDefault="00C46A0A" w:rsidP="00C46A0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Unfair Discrimination and Affirmative Action</w:t>
      </w:r>
    </w:p>
    <w:p w:rsidR="00C46A0A" w:rsidRPr="002074E5" w:rsidRDefault="00C46A0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 xml:space="preserve">In </w:t>
      </w:r>
      <w:r w:rsidRPr="002074E5">
        <w:rPr>
          <w:rFonts w:ascii="Verdana" w:hAnsi="Verdana" w:cs="BemboStd-Italic"/>
          <w:i/>
          <w:iCs/>
          <w:sz w:val="18"/>
          <w:szCs w:val="18"/>
        </w:rPr>
        <w:t>Solidarity on behalf of Barnard v SA Police Service (Vereniging van Regslui vir</w:t>
      </w:r>
      <w:r w:rsidR="00C46A0A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Afrikaans as Amicus Curiae) </w:t>
      </w:r>
      <w:r w:rsidRPr="002074E5">
        <w:rPr>
          <w:rFonts w:ascii="Verdana" w:hAnsi="Verdana" w:cs="BemboStd"/>
          <w:sz w:val="18"/>
          <w:szCs w:val="18"/>
        </w:rPr>
        <w:t>(at 416) the Supreme Court of Appeal overturned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an earlier decision of the Labour Appeal Court (reported in (2013) 34 </w:t>
      </w:r>
      <w:r w:rsidRPr="002074E5">
        <w:rPr>
          <w:rFonts w:ascii="Verdana" w:hAnsi="Verdana" w:cs="BemboStd-Italic"/>
          <w:i/>
          <w:iCs/>
          <w:sz w:val="18"/>
          <w:szCs w:val="18"/>
        </w:rPr>
        <w:t>ILJ</w:t>
      </w:r>
      <w:r w:rsidR="00C46A0A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590 (LAC)) in which the LAC had found that the decision by the national</w:t>
      </w:r>
      <w:r w:rsidR="00A00630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commissioner of the SAPS not to appoint a white female officer to a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promotional post, although she had twice been recommended as the best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candidate for appointment, did not amount to unfair discrimination. The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SCA considered the purpose and the provisions of the Employment Equity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Act 55 of 1998 and examined the SAPS’ employment equity plan (EEP)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and the applicable sections of its National Instruction 1/2004, all of which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make provision for affirmative action in the granting of promotions. The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court found them designed to assist in the struggle to achieve an egalitarian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society, but held that this end could not be achieved by the mechanical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application of formulae and numerical targets. It found that the applicant,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herself a member of a designated group, had been discriminated against on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ground of race, and that the national commissioner and the SAPS had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not discharged the onus to show that the discrimination was fair.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In similar vein,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Solidarity &amp; others v Department of Correctional Services &amp;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others (Police &amp; Prisons Civil Rights Union as Amicus Curiae) </w:t>
      </w:r>
      <w:r w:rsidRPr="002074E5">
        <w:rPr>
          <w:rFonts w:ascii="Verdana" w:hAnsi="Verdana" w:cs="BemboStd"/>
          <w:sz w:val="18"/>
          <w:szCs w:val="18"/>
        </w:rPr>
        <w:t>(at 504) employees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the respondent department employed in the Western Cape claimed that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they had been unfairly discriminated against by not being selected for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appointment to the posts that they had applied for, and sought an order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declaring that the employer’s EEP did not satisfy the requirements of s 20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the EEA. The Labour Court found that it was not empowered to grant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declarator sought, but after studying s 42 of the Act and the terms of the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EEP it concluded that both regional and national demographics must be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taken into account when determining </w:t>
      </w:r>
      <w:r w:rsidR="00A05597">
        <w:rPr>
          <w:rFonts w:ascii="Verdana" w:hAnsi="Verdana" w:cs="BemboStd"/>
          <w:sz w:val="18"/>
          <w:szCs w:val="18"/>
        </w:rPr>
        <w:br w:type="page"/>
      </w:r>
      <w:r w:rsidRPr="002074E5">
        <w:rPr>
          <w:rFonts w:ascii="Verdana" w:hAnsi="Verdana" w:cs="BemboStd"/>
          <w:sz w:val="18"/>
          <w:szCs w:val="18"/>
        </w:rPr>
        <w:lastRenderedPageBreak/>
        <w:t>the extent to which qualified people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from the different designated groups were equitably represented in the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various regions. It was common cause that the department’s EEP only took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account of national demographics. The court accordingly found that where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department’s selection and recruitment process took no cognizance of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regional demographics of the Western Cape this amounted to unfair</w:t>
      </w: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proofErr w:type="gramStart"/>
      <w:r w:rsidRPr="002074E5">
        <w:rPr>
          <w:rFonts w:ascii="Verdana" w:hAnsi="Verdana" w:cs="BemboStd"/>
          <w:sz w:val="18"/>
          <w:szCs w:val="18"/>
        </w:rPr>
        <w:t>discrimination</w:t>
      </w:r>
      <w:proofErr w:type="gramEnd"/>
      <w:r w:rsidRPr="002074E5">
        <w:rPr>
          <w:rFonts w:ascii="Verdana" w:hAnsi="Verdana" w:cs="BemboStd"/>
          <w:sz w:val="18"/>
          <w:szCs w:val="18"/>
        </w:rPr>
        <w:t xml:space="preserve"> against affected employees within the designated groups.</w:t>
      </w:r>
    </w:p>
    <w:p w:rsidR="00C46A0A" w:rsidRPr="002074E5" w:rsidRDefault="00C46A0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Transfer of Business as a Going Concern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A05597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>The eThekwini Metropolitan Municipality was not permitted to provide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its own bus service, but was statutorily obliged to appoint a public transport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operator to provide the service. When the appointed operator terminated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its contract and ceased its operations the provincial MEC appointed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Transnet to provide the service temporarily pending the appointment of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a new operator.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Transport &amp; Allied Workers Union of SA v Transnet (Pty)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Ltd &amp; others </w:t>
      </w:r>
      <w:r w:rsidRPr="002074E5">
        <w:rPr>
          <w:rFonts w:ascii="Verdana" w:hAnsi="Verdana" w:cs="BemboStd"/>
          <w:sz w:val="18"/>
          <w:szCs w:val="18"/>
        </w:rPr>
        <w:t>(at 526) the Labour Court held that this did not amount to a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transfer of a business as a going concern. The provision of a bus service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was not a ‘business’ within the meaning of s 197 of the LRA 1995, but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 statutory obligation. Further, the trade union had failed to show any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transfer from the municipality to the first operator, or any subsequent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transfer to Transnet.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A05597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Employment Relationship</w:t>
      </w:r>
      <w:r w:rsidR="00A05597" w:rsidRPr="002074E5">
        <w:rPr>
          <w:rFonts w:ascii="Verdana" w:hAnsi="Verdana" w:cs="HelveticaLTStd-Roman"/>
          <w:b/>
          <w:sz w:val="18"/>
          <w:szCs w:val="18"/>
        </w:rPr>
        <w:t xml:space="preserve"> 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 xml:space="preserve">The CCMA commissioner in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Dyssel and Media 24 (Pty) Ltd </w:t>
      </w:r>
      <w:r w:rsidRPr="002074E5">
        <w:rPr>
          <w:rFonts w:ascii="Verdana" w:hAnsi="Verdana" w:cs="BemboStd"/>
          <w:sz w:val="18"/>
          <w:szCs w:val="18"/>
        </w:rPr>
        <w:t>(at 534)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examined the distinction between the status of an employee and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independent contractor, and concluded that a street vender who was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paid a commission to distribute newspapers for sale on a Sunday was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independent contractor, not an employee.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Unfair Dismissal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>After refusing to carry out a particular instruction of their employer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the employee parties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Mmolawa &amp; others and Tintinger t/</w:t>
      </w:r>
      <w:proofErr w:type="gramStart"/>
      <w:r w:rsidRPr="002074E5">
        <w:rPr>
          <w:rFonts w:ascii="Verdana" w:hAnsi="Verdana" w:cs="BemboStd-Italic"/>
          <w:i/>
          <w:iCs/>
          <w:sz w:val="18"/>
          <w:szCs w:val="18"/>
        </w:rPr>
        <w:t>a Beginnings</w:t>
      </w:r>
      <w:proofErr w:type="gramEnd"/>
      <w:r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(at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560) were required to sign a final written warning and a new contract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employment, or leave the employer’s premises. They refused to sign,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left the premises and claimed that they had been unfairly dismissed. The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arbitrating commissioner found that the employer’s actions amounted to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 dismissal and that as no procedure had been followed, and no reason for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dismissal given, the dismissal was unfair. The employee party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Solidarity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on behalf of Kotze and Assmang Iron Ore (Khumani Mine) </w:t>
      </w:r>
      <w:r w:rsidRPr="002074E5">
        <w:rPr>
          <w:rFonts w:ascii="Verdana" w:hAnsi="Verdana" w:cs="BemboStd"/>
          <w:sz w:val="18"/>
          <w:szCs w:val="18"/>
        </w:rPr>
        <w:t>(at 566) was dismissed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for dishonesty for misrepresenting his IT qualifications in his curriculum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vitae. At arbitration it became apparent that the qualifications in question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had been incorrectly cited in the employer’s advertisement, and did not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exist. The employee had explained in his interview the qualifications 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in fact did have, and there was no evidence that he intended to mislead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his employer. He was reinstated. The arbitrator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Manikus and Genrec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Engineering (Pty) Ltd </w:t>
      </w:r>
      <w:r w:rsidRPr="002074E5">
        <w:rPr>
          <w:rFonts w:ascii="Verdana" w:hAnsi="Verdana" w:cs="BemboStd"/>
          <w:sz w:val="18"/>
          <w:szCs w:val="18"/>
        </w:rPr>
        <w:t>(at 581) found that where an employee had been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allowed to remain in his employment for seven months after the expiry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his fixed-term contract, his contract was deemed to have been tacitly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renewed, but for an indefinite period. The subsequent termination of his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employment therefore amounted to a dismissal.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Enforcement of Settlement Agreements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 xml:space="preserve">In </w:t>
      </w:r>
      <w:r w:rsidRPr="002074E5">
        <w:rPr>
          <w:rFonts w:ascii="Verdana" w:hAnsi="Verdana" w:cs="BemboStd-Italic"/>
          <w:i/>
          <w:iCs/>
          <w:sz w:val="18"/>
          <w:szCs w:val="18"/>
        </w:rPr>
        <w:t>SA Post Office Ltd v Communication Workers Union on behalf of Permanent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Part-time Employees </w:t>
      </w:r>
      <w:r w:rsidRPr="002074E5">
        <w:rPr>
          <w:rFonts w:ascii="Verdana" w:hAnsi="Verdana" w:cs="BemboStd"/>
          <w:sz w:val="18"/>
          <w:szCs w:val="18"/>
        </w:rPr>
        <w:t>(at 455) the Labour Court had granted an order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making a settlement agreement between the parties an order of court, and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at the same time had referred a dispute concerning the interpretation of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agreement to the CCMA. On appeal the Labour Appeal Court held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that the LC has </w:t>
      </w:r>
      <w:proofErr w:type="gramStart"/>
      <w:r w:rsidRPr="002074E5">
        <w:rPr>
          <w:rFonts w:ascii="Verdana" w:hAnsi="Verdana" w:cs="BemboStd"/>
          <w:sz w:val="18"/>
          <w:szCs w:val="18"/>
        </w:rPr>
        <w:t>a discretion</w:t>
      </w:r>
      <w:proofErr w:type="gramEnd"/>
      <w:r w:rsidRPr="002074E5">
        <w:rPr>
          <w:rFonts w:ascii="Verdana" w:hAnsi="Verdana" w:cs="BemboStd"/>
          <w:sz w:val="18"/>
          <w:szCs w:val="18"/>
        </w:rPr>
        <w:t xml:space="preserve"> to make such an order where the agreement is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unambiguous and unequivocal, and where the defaulting party has failed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to comply with it, but not where it is unclear or ambiguous. Further, once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made an order of court the agreement could not be referred to the CCMA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in terms of s 24(8) of the LRA 1995 for interpretation.</w:t>
      </w:r>
    </w:p>
    <w:p w:rsidR="00A05597" w:rsidRPr="00C46A0A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232858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>
        <w:rPr>
          <w:rFonts w:ascii="Verdana" w:hAnsi="Verdana" w:cs="HelveticaLTStd-Roman"/>
          <w:b/>
          <w:sz w:val="22"/>
          <w:szCs w:val="22"/>
        </w:rPr>
        <w:br w:type="page"/>
      </w:r>
      <w:r w:rsidR="00EE434A" w:rsidRPr="002074E5">
        <w:rPr>
          <w:rFonts w:ascii="Verdana" w:hAnsi="Verdana" w:cs="HelveticaLTStd-Roman"/>
          <w:b/>
          <w:sz w:val="18"/>
          <w:szCs w:val="18"/>
        </w:rPr>
        <w:lastRenderedPageBreak/>
        <w:t>Enforcement of Reinstatement Order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232858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>Noting that a court will generally agree to make an arbitration award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order of court to ensure that it is honoured, unless the award lacks clarity,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the Labour Court in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Sejake v Naledi Local Municipality </w:t>
      </w:r>
      <w:r w:rsidRPr="002074E5">
        <w:rPr>
          <w:rFonts w:ascii="Verdana" w:hAnsi="Verdana" w:cs="BemboStd"/>
          <w:sz w:val="18"/>
          <w:szCs w:val="18"/>
        </w:rPr>
        <w:t>(at 500) made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award of reinstatement an order of court, although the award did not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quantify the amount of backpay due. The court found that backpay is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automatic component of reinstatement and that, where not quantified, it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can easily be ascertained by reference to the employee’s last payslip.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</w:p>
    <w:p w:rsidR="00232858" w:rsidRPr="002074E5" w:rsidRDefault="00232858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232858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Interpretation of Collective Agreement</w:t>
      </w:r>
      <w:r w:rsidR="00A05597" w:rsidRPr="00F13C3B">
        <w:rPr>
          <w:rFonts w:ascii="Verdana" w:hAnsi="Verdana" w:cs="HelveticaLTStd-Roman"/>
          <w:b/>
          <w:sz w:val="18"/>
          <w:szCs w:val="18"/>
        </w:rPr>
        <w:t xml:space="preserve"> </w:t>
      </w:r>
    </w:p>
    <w:p w:rsidR="00232858" w:rsidRPr="00F13C3B" w:rsidRDefault="00232858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sz w:val="18"/>
          <w:szCs w:val="18"/>
        </w:rPr>
      </w:pPr>
    </w:p>
    <w:p w:rsidR="00A05597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On review in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Cape Clothing Association v De Kock &amp; others </w:t>
      </w:r>
      <w:r w:rsidRPr="00F13C3B">
        <w:rPr>
          <w:rFonts w:ascii="Verdana" w:hAnsi="Verdana" w:cs="BemboStd"/>
          <w:sz w:val="18"/>
          <w:szCs w:val="18"/>
        </w:rPr>
        <w:t>(at 465)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Labour Court found that a clause in a collective agreement was ambiguous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required interpretation in terms of s 24 of the LRA 1995.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arbitrator’s finding to the contrary was accordingly set aside. The court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further found that the arbitrator’s power to interpret its terms included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power to rectify the agreement to reflect the real intention of the parties.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Recognition of Bargaining Agents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A05597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The Labour Court refused in </w:t>
      </w:r>
      <w:r w:rsidRPr="00F13C3B">
        <w:rPr>
          <w:rFonts w:ascii="Verdana" w:hAnsi="Verdana" w:cs="BemboStd-Italic"/>
          <w:i/>
          <w:iCs/>
          <w:sz w:val="18"/>
          <w:szCs w:val="18"/>
        </w:rPr>
        <w:t>National Union of Mineworkers v Lonmin</w:t>
      </w:r>
      <w:r w:rsidR="00A05597" w:rsidRPr="00F13C3B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F13C3B">
        <w:rPr>
          <w:rFonts w:ascii="Verdana" w:hAnsi="Verdana" w:cs="BemboStd-Italic"/>
          <w:i/>
          <w:iCs/>
          <w:sz w:val="18"/>
          <w:szCs w:val="18"/>
        </w:rPr>
        <w:t>Platinum comprising Eastern Platinum Ltd &amp; Western Platinum Ltd &amp; another</w:t>
      </w:r>
      <w:r w:rsidR="00A05597" w:rsidRPr="00F13C3B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(at 486) to grant the applicant trade union an urgent interim interdict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to prevent the respondent employer from terminating its recognition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agreement with the union after it had lost a large number of its members to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 rival union, AMCU, and so had lost its majority status as required by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agreement, and its representative status. NUM maintained that many of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revocation orders presented to the employer by AMCU were defective or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invalid, and that the employer had failed to apply its mind when verifying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the notices. The court found that NUM had not acted timeously when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losing members to AMCU, and that it should have demanded and checked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the validity of the revocation of membership notices much earlier.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matter was not urgent, and NUM had an alternative remedy before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CCMA, to which it had referred a dispute concerning the interpretation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application of the recognition agreement.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Prescription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In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Concor Holdings (Pty) Ltd v Mazibuko &amp; others </w:t>
      </w:r>
      <w:r w:rsidRPr="00F13C3B">
        <w:rPr>
          <w:rFonts w:ascii="Verdana" w:hAnsi="Verdana" w:cs="BemboStd"/>
          <w:sz w:val="18"/>
          <w:szCs w:val="18"/>
        </w:rPr>
        <w:t>(at 477) the Labour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Court examined the application of the Prescription Act 68 of 1969 to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the enforcement of arbitration awards, and found the principle of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timeous resolution of labour disputes to be consistent with the timeous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enforcement of debts as set out in the Act, and that the dictates of fairness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equity did not trump the provisions of the Act, which had been found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to be constitutionally valid. The employee’s right to enforce an arbitration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 xml:space="preserve">award had </w:t>
      </w:r>
      <w:r w:rsidRPr="00F13C3B">
        <w:rPr>
          <w:rFonts w:ascii="Bradley Hand ITC" w:hAnsi="Bradley Hand ITC" w:cs="BemboStd"/>
          <w:sz w:val="18"/>
          <w:szCs w:val="18"/>
        </w:rPr>
        <w:t xml:space="preserve">therefore </w:t>
      </w:r>
      <w:r w:rsidRPr="00F13C3B">
        <w:rPr>
          <w:rFonts w:ascii="Verdana" w:hAnsi="Verdana" w:cs="BemboStd"/>
          <w:sz w:val="18"/>
          <w:szCs w:val="18"/>
        </w:rPr>
        <w:t>prescribed after three years.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Hearsay Evidence before the CCMA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In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Mahlangu and Premier Foods (Pty) Ltd </w:t>
      </w:r>
      <w:r w:rsidRPr="00F13C3B">
        <w:rPr>
          <w:rFonts w:ascii="Verdana" w:hAnsi="Verdana" w:cs="BemboStd"/>
          <w:sz w:val="18"/>
          <w:szCs w:val="18"/>
        </w:rPr>
        <w:t>(at 545), in which an employee had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been dismissed for alleged dishonesty, the only evidence directly linking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him to the allegations was hearsay evidence in the form of two statements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made by former employees who had left the company and could not be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traced. After regard to the Law of Evidence Amendment Act 45 of 1988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relevant case law the CCMA commissioner found that an arbitrator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might rely on hearsay evidence which he was satisfied on proper grounds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was reliable. However, he did not place reliance on the statements as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co-employees had shown themselves to be dishonest and their evidence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could not be tested.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Practice and Procedure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232858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proofErr w:type="gramStart"/>
      <w:r w:rsidRPr="00F13C3B">
        <w:rPr>
          <w:rFonts w:ascii="Verdana" w:hAnsi="Verdana" w:cs="BemboStd"/>
          <w:sz w:val="18"/>
          <w:szCs w:val="18"/>
        </w:rPr>
        <w:t xml:space="preserve">The High Court in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Weitz v Goodyear SA (Pty) Ltd &amp; others </w:t>
      </w:r>
      <w:r w:rsidRPr="00F13C3B">
        <w:rPr>
          <w:rFonts w:ascii="Verdana" w:hAnsi="Verdana" w:cs="BemboStd"/>
          <w:sz w:val="18"/>
          <w:szCs w:val="18"/>
        </w:rPr>
        <w:t>(at 441), in an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action in which the plaintiff claimed damages from his former employer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for the loss of his earning capacity, refused to entertain the</w:t>
      </w:r>
      <w:r w:rsidRPr="00C46A0A">
        <w:rPr>
          <w:rFonts w:ascii="Verdana" w:hAnsi="Verdana" w:cs="BemboStd"/>
          <w:sz w:val="18"/>
          <w:szCs w:val="18"/>
        </w:rPr>
        <w:t xml:space="preserve"> </w:t>
      </w:r>
      <w:r w:rsidR="00232858">
        <w:rPr>
          <w:rFonts w:ascii="Verdana" w:hAnsi="Verdana" w:cs="BemboStd"/>
          <w:sz w:val="18"/>
          <w:szCs w:val="18"/>
        </w:rPr>
        <w:br w:type="page"/>
      </w:r>
      <w:r w:rsidRPr="00F13C3B">
        <w:rPr>
          <w:rFonts w:ascii="Verdana" w:hAnsi="Verdana" w:cs="BemboStd"/>
          <w:sz w:val="18"/>
          <w:szCs w:val="18"/>
        </w:rPr>
        <w:lastRenderedPageBreak/>
        <w:t>action or to establish causation.</w:t>
      </w:r>
      <w:proofErr w:type="gramEnd"/>
      <w:r w:rsidRPr="00F13C3B">
        <w:rPr>
          <w:rFonts w:ascii="Verdana" w:hAnsi="Verdana" w:cs="BemboStd"/>
          <w:sz w:val="18"/>
          <w:szCs w:val="18"/>
        </w:rPr>
        <w:t xml:space="preserve"> The court considered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whether the plaintiff had made sufficient allegations to establish either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 xml:space="preserve">legal or factual causation in respect of his claim, and concluded that </w:t>
      </w:r>
      <w:proofErr w:type="gramStart"/>
      <w:r w:rsidRPr="00F13C3B">
        <w:rPr>
          <w:rFonts w:ascii="Verdana" w:hAnsi="Verdana" w:cs="BemboStd"/>
          <w:sz w:val="18"/>
          <w:szCs w:val="18"/>
        </w:rPr>
        <w:t>neither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could be determined at the exception stage, and</w:t>
      </w:r>
      <w:proofErr w:type="gramEnd"/>
      <w:r w:rsidRPr="00F13C3B">
        <w:rPr>
          <w:rFonts w:ascii="Verdana" w:hAnsi="Verdana" w:cs="BemboStd"/>
          <w:sz w:val="18"/>
          <w:szCs w:val="18"/>
        </w:rPr>
        <w:t xml:space="preserve"> must be determined after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hearing evidence.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</w:p>
    <w:p w:rsidR="00232858" w:rsidRDefault="00232858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Cape Clothing Association v De Kock &amp; others </w:t>
      </w:r>
      <w:r w:rsidRPr="00F13C3B">
        <w:rPr>
          <w:rFonts w:ascii="Verdana" w:hAnsi="Verdana" w:cs="BemboStd"/>
          <w:sz w:val="18"/>
          <w:szCs w:val="18"/>
        </w:rPr>
        <w:t>(at 465), concerned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interpretation and application of a collective agreement, which had been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referred to arbitration in terms of s 24 of the LRA 1995. When the employer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party applied to review the award the trade union’s representative submitted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her own version of events in an answering affidavit. The Labour Court granted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the employer’s application to strike out the affidavit, finding that it sought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to introduce new evidence which had not been placed before the arbitrator</w:t>
      </w: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proofErr w:type="gramStart"/>
      <w:r w:rsidRPr="00F13C3B">
        <w:rPr>
          <w:rFonts w:ascii="Verdana" w:hAnsi="Verdana" w:cs="BemboStd"/>
          <w:sz w:val="18"/>
          <w:szCs w:val="18"/>
        </w:rPr>
        <w:t>when</w:t>
      </w:r>
      <w:proofErr w:type="gramEnd"/>
      <w:r w:rsidRPr="00F13C3B">
        <w:rPr>
          <w:rFonts w:ascii="Verdana" w:hAnsi="Verdana" w:cs="BemboStd"/>
          <w:sz w:val="18"/>
          <w:szCs w:val="18"/>
        </w:rPr>
        <w:t xml:space="preserve"> the terms of the agreement were initially considered, and that this was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impermissible and unfair. The court further found that the agreement was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ambiguous, and that the arbitrator had power to rectify it.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-Italic"/>
          <w:b/>
          <w:i/>
          <w:iCs/>
          <w:sz w:val="18"/>
          <w:szCs w:val="18"/>
        </w:rPr>
      </w:pPr>
      <w:r w:rsidRPr="00F13C3B">
        <w:rPr>
          <w:rFonts w:ascii="Verdana" w:hAnsi="Verdana" w:cs="BemboStd-Italic"/>
          <w:b/>
          <w:i/>
          <w:iCs/>
          <w:sz w:val="18"/>
          <w:szCs w:val="18"/>
        </w:rPr>
        <w:t>Quote of the Month:</w:t>
      </w:r>
    </w:p>
    <w:p w:rsidR="00232858" w:rsidRPr="00F13C3B" w:rsidRDefault="00232858" w:rsidP="00C46A0A">
      <w:pPr>
        <w:autoSpaceDE w:val="0"/>
        <w:autoSpaceDN w:val="0"/>
        <w:adjustRightInd w:val="0"/>
        <w:jc w:val="both"/>
        <w:rPr>
          <w:rFonts w:ascii="Verdana" w:hAnsi="Verdana" w:cs="BemboStd-Italic"/>
          <w:b/>
          <w:i/>
          <w:iCs/>
          <w:sz w:val="18"/>
          <w:szCs w:val="18"/>
        </w:rPr>
      </w:pPr>
    </w:p>
    <w:p w:rsidR="00232858" w:rsidRPr="00F13C3B" w:rsidRDefault="00EE434A" w:rsidP="00A05597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Navsa ADP in </w:t>
      </w:r>
      <w:r w:rsidRPr="00F13C3B">
        <w:rPr>
          <w:rFonts w:ascii="Verdana" w:hAnsi="Verdana" w:cs="BemboStd-Italic"/>
          <w:i/>
          <w:iCs/>
          <w:sz w:val="18"/>
          <w:szCs w:val="18"/>
        </w:rPr>
        <w:t>Solidarity on behalf of Barnard v SA Police Service (Vereniging</w:t>
      </w:r>
      <w:r w:rsidR="00A05597" w:rsidRPr="00F13C3B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van Regslui vir Afrikaans as Amicus Curiae) </w:t>
      </w:r>
      <w:r w:rsidRPr="00F13C3B">
        <w:rPr>
          <w:rFonts w:ascii="Verdana" w:hAnsi="Verdana" w:cs="BemboStd"/>
          <w:sz w:val="18"/>
          <w:szCs w:val="18"/>
        </w:rPr>
        <w:t xml:space="preserve">(2014) 35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ILJ </w:t>
      </w:r>
      <w:r w:rsidRPr="00F13C3B">
        <w:rPr>
          <w:rFonts w:ascii="Verdana" w:hAnsi="Verdana" w:cs="BemboStd"/>
          <w:sz w:val="18"/>
          <w:szCs w:val="18"/>
        </w:rPr>
        <w:t>416 (SCA):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</w:p>
    <w:p w:rsidR="00232858" w:rsidRPr="00F13C3B" w:rsidRDefault="00232858" w:rsidP="00A05597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42481A" w:rsidRPr="00F13C3B" w:rsidRDefault="00EE434A" w:rsidP="00A05597">
      <w:pPr>
        <w:autoSpaceDE w:val="0"/>
        <w:autoSpaceDN w:val="0"/>
        <w:adjustRightInd w:val="0"/>
        <w:jc w:val="both"/>
        <w:rPr>
          <w:rFonts w:ascii="Verdana" w:hAnsi="Verdana" w:cs="Bembo 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>‘Dealing with race classifications, as is necessary under the EEA, feels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almost like a throwback to the grand apartheid design. If we are to achieve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 xml:space="preserve">success as a nation, each of us has to bear in mind that wherever we are 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located, particularly those of us who have crossed over from the previous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oppressive era into our present democratic order, it will take a continuous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earnest commitment to forging a future that is colour blind.’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</w:p>
    <w:sectPr w:rsidR="0042481A" w:rsidRPr="00F13C3B" w:rsidSect="0097679A">
      <w:headerReference w:type="default" r:id="rId11"/>
      <w:footerReference w:type="default" r:id="rId12"/>
      <w:pgSz w:w="11899" w:h="16838"/>
      <w:pgMar w:top="2552" w:right="1134" w:bottom="1985" w:left="1134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F6" w:rsidRDefault="00C261F6">
      <w:r>
        <w:separator/>
      </w:r>
    </w:p>
  </w:endnote>
  <w:endnote w:type="continuationSeparator" w:id="0">
    <w:p w:rsidR="00C261F6" w:rsidRDefault="00C2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 Bold Italic">
    <w:altName w:val="Courier New"/>
    <w:panose1 w:val="020407020603050A0204"/>
    <w:charset w:val="00"/>
    <w:family w:val="auto"/>
    <w:pitch w:val="variable"/>
    <w:sig w:usb0="03000000" w:usb1="00000000" w:usb2="00000000" w:usb3="00000000" w:csb0="00000001" w:csb1="00000000"/>
  </w:font>
  <w:font w:name="ITC Legacy Sans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DNGK F+ Advhlv">
    <w:altName w:val="Advhlv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PHB C+ Advhlv">
    <w:altName w:val="Advhlv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mbo Std">
    <w:altName w:val="Bemb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F6" w:rsidRDefault="00256053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41.7pt;margin-top:-43.45pt;width:290.55pt;height:69.45pt;z-index:251657216" filled="f" stroked="f">
          <v:textbox style="mso-next-textbox:#_x0000_s2051" inset="0,0,0,0">
            <w:txbxContent>
              <w:p w:rsidR="00C261F6" w:rsidRDefault="00C261F6">
                <w:pPr>
                  <w:spacing w:line="180" w:lineRule="exact"/>
                  <w:rPr>
                    <w:rFonts w:ascii="Lucida Sans" w:hAnsi="Lucida Sans"/>
                    <w:spacing w:val="3"/>
                    <w:sz w:val="12"/>
                  </w:rPr>
                </w:pPr>
                <w:r>
                  <w:rPr>
                    <w:rFonts w:ascii="Lucida Sans" w:hAnsi="Lucida Sans"/>
                    <w:spacing w:val="3"/>
                    <w:sz w:val="12"/>
                  </w:rPr>
                  <w:t xml:space="preserve">Website: </w:t>
                </w:r>
                <w:hyperlink r:id="rId1" w:history="1">
                  <w:r>
                    <w:rPr>
                      <w:rFonts w:ascii="Lucida Sans" w:hAnsi="Lucida Sans"/>
                      <w:spacing w:val="3"/>
                      <w:sz w:val="12"/>
                    </w:rPr>
                    <w:t>www.juta.co.za</w:t>
                  </w:r>
                </w:hyperlink>
                <w:r>
                  <w:rPr>
                    <w:rFonts w:ascii="Lucida Sans" w:hAnsi="Lucida Sans"/>
                    <w:spacing w:val="3"/>
                    <w:sz w:val="12"/>
                  </w:rPr>
                  <w:t>; e-mail:cserv@juta.co.za</w:t>
                </w:r>
              </w:p>
              <w:p w:rsidR="00C261F6" w:rsidRDefault="00C261F6">
                <w:pPr>
                  <w:pStyle w:val="BodyText2"/>
                  <w:rPr>
                    <w:rFonts w:ascii="Lucida Sans" w:hAnsi="Lucida Sans"/>
                    <w:sz w:val="12"/>
                  </w:rPr>
                </w:pPr>
              </w:p>
              <w:p w:rsidR="00C261F6" w:rsidRDefault="00C261F6">
                <w:pPr>
                  <w:pStyle w:val="BodyText2"/>
                  <w:rPr>
                    <w:rFonts w:ascii="Lucida Sans" w:hAnsi="Lucida Sans"/>
                    <w:sz w:val="11"/>
                  </w:rPr>
                </w:pPr>
                <w:r>
                  <w:rPr>
                    <w:rFonts w:ascii="Lucida Sans" w:hAnsi="Lucida Sans"/>
                    <w:sz w:val="12"/>
                  </w:rPr>
                  <w:t xml:space="preserve">Juta and Company Ltd, REG. NO. </w:t>
                </w:r>
                <w:proofErr w:type="gramStart"/>
                <w:r>
                  <w:rPr>
                    <w:rFonts w:ascii="Lucida Sans" w:hAnsi="Lucida Sans"/>
                    <w:sz w:val="12"/>
                  </w:rPr>
                  <w:t>1919/001812/06, VAT REG. NO.</w:t>
                </w:r>
                <w:proofErr w:type="gramEnd"/>
                <w:r>
                  <w:rPr>
                    <w:rFonts w:ascii="Lucida Sans" w:hAnsi="Lucida Sans"/>
                    <w:sz w:val="12"/>
                  </w:rPr>
                  <w:t xml:space="preserve"> 4520113319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-9.1pt;margin-top:-42.95pt;width:240.15pt;height:69.45pt;z-index:251658240" o:allowincell="f" filled="f" stroked="f">
          <v:textbox style="mso-next-textbox:#_x0000_s2055" inset="0,0,0,0">
            <w:txbxContent>
              <w:p w:rsidR="00C261F6" w:rsidRDefault="00C261F6" w:rsidP="000456D8">
                <w:pPr>
                  <w:spacing w:line="180" w:lineRule="exact"/>
                  <w:jc w:val="right"/>
                  <w:rPr>
                    <w:rFonts w:ascii="Lucida Sans" w:hAnsi="Lucida Sans"/>
                    <w:spacing w:val="3"/>
                    <w:sz w:val="12"/>
                  </w:rPr>
                </w:pPr>
                <w:r>
                  <w:rPr>
                    <w:rFonts w:ascii="Lucida Sans" w:hAnsi="Lucida Sans"/>
                    <w:spacing w:val="3"/>
                    <w:sz w:val="12"/>
                  </w:rPr>
                  <w:t xml:space="preserve">Ground Floor, Sunclare Building, 21 Dreyer Street, Claremont, </w:t>
                </w:r>
              </w:p>
              <w:p w:rsidR="00C261F6" w:rsidRDefault="00C261F6" w:rsidP="000456D8">
                <w:pPr>
                  <w:spacing w:line="180" w:lineRule="exact"/>
                  <w:jc w:val="right"/>
                  <w:rPr>
                    <w:rFonts w:ascii="Lucida Sans" w:hAnsi="Lucida Sans"/>
                    <w:spacing w:val="3"/>
                    <w:sz w:val="12"/>
                  </w:rPr>
                </w:pPr>
                <w:r>
                  <w:rPr>
                    <w:rFonts w:ascii="Lucida Sans" w:hAnsi="Lucida Sans"/>
                    <w:spacing w:val="3"/>
                    <w:sz w:val="12"/>
                  </w:rPr>
                  <w:t>Cape Town, South Africa</w:t>
                </w:r>
              </w:p>
              <w:p w:rsidR="00C261F6" w:rsidRDefault="00C261F6" w:rsidP="000456D8">
                <w:pPr>
                  <w:pStyle w:val="BodyText"/>
                  <w:jc w:val="right"/>
                  <w:rPr>
                    <w:rFonts w:ascii="Lucida Sans" w:hAnsi="Lucida Sans"/>
                    <w:sz w:val="12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Lucida Sans" w:hAnsi="Lucida Sans"/>
                        <w:sz w:val="12"/>
                      </w:rPr>
                      <w:t>PO Box</w:t>
                    </w:r>
                  </w:smartTag>
                  <w:r>
                    <w:rPr>
                      <w:rFonts w:ascii="Lucida Sans" w:hAnsi="Lucida Sans"/>
                      <w:sz w:val="12"/>
                    </w:rPr>
                    <w:t xml:space="preserve"> 14373</w:t>
                  </w:r>
                </w:smartTag>
                <w:r>
                  <w:rPr>
                    <w:rFonts w:ascii="Lucida Sans" w:hAnsi="Lucida Sans"/>
                    <w:sz w:val="12"/>
                  </w:rPr>
                  <w:t xml:space="preserve">, Lansdowne 7779; Docex Number: DX 326, </w:t>
                </w:r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ascii="Lucida Sans" w:hAnsi="Lucida Sans"/>
                        <w:sz w:val="12"/>
                      </w:rPr>
                      <w:t>Cape Town</w:t>
                    </w:r>
                  </w:smartTag>
                </w:smartTag>
              </w:p>
              <w:p w:rsidR="00C261F6" w:rsidRDefault="00C261F6" w:rsidP="000456D8">
                <w:pPr>
                  <w:spacing w:line="180" w:lineRule="exact"/>
                  <w:jc w:val="right"/>
                  <w:rPr>
                    <w:rFonts w:ascii="Lucida Sans" w:hAnsi="Lucida Sans"/>
                    <w:spacing w:val="3"/>
                    <w:sz w:val="12"/>
                  </w:rPr>
                </w:pPr>
                <w:r>
                  <w:rPr>
                    <w:rFonts w:ascii="Lucida Sans" w:hAnsi="Lucida Sans"/>
                    <w:spacing w:val="3"/>
                    <w:sz w:val="12"/>
                  </w:rPr>
                  <w:t xml:space="preserve">Tel: +27 21 659 2300, Fax: +27 21 659 2360  </w:t>
                </w:r>
              </w:p>
              <w:p w:rsidR="00C261F6" w:rsidRPr="000456D8" w:rsidRDefault="00C261F6" w:rsidP="000456D8"/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.25pt;height:44.25pt" fillcolor="window">
          <v:imagedata r:id="rId2" r:href="rId3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F6" w:rsidRDefault="00C261F6">
      <w:r>
        <w:separator/>
      </w:r>
    </w:p>
  </w:footnote>
  <w:footnote w:type="continuationSeparator" w:id="0">
    <w:p w:rsidR="00C261F6" w:rsidRDefault="00C26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F6" w:rsidRDefault="00256053" w:rsidP="00D66A40">
    <w:pPr>
      <w:pStyle w:val="Header"/>
      <w:tabs>
        <w:tab w:val="clear" w:pos="4320"/>
        <w:tab w:val="clear" w:pos="8640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84pt">
          <v:imagedata r:id="rId1" o:title="JUTA%20Law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189"/>
    <w:multiLevelType w:val="multilevel"/>
    <w:tmpl w:val="A522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A1D85"/>
    <w:multiLevelType w:val="multilevel"/>
    <w:tmpl w:val="696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D02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A80740"/>
    <w:multiLevelType w:val="hybridMultilevel"/>
    <w:tmpl w:val="94C279E8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37EEC"/>
    <w:multiLevelType w:val="hybridMultilevel"/>
    <w:tmpl w:val="26142CC2"/>
    <w:lvl w:ilvl="0" w:tplc="F24CFA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1C6E"/>
    <w:multiLevelType w:val="multilevel"/>
    <w:tmpl w:val="B8E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410CF"/>
    <w:multiLevelType w:val="multilevel"/>
    <w:tmpl w:val="259C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83655"/>
    <w:multiLevelType w:val="hybridMultilevel"/>
    <w:tmpl w:val="C7E407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0AC8AD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62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A0119A"/>
    <w:multiLevelType w:val="hybridMultilevel"/>
    <w:tmpl w:val="C59A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955DF"/>
    <w:multiLevelType w:val="hybridMultilevel"/>
    <w:tmpl w:val="146E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448"/>
    <w:multiLevelType w:val="hybridMultilevel"/>
    <w:tmpl w:val="1F543D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443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B42C5F"/>
    <w:multiLevelType w:val="multilevel"/>
    <w:tmpl w:val="E80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144F1"/>
    <w:multiLevelType w:val="multilevel"/>
    <w:tmpl w:val="18E8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EA0AC8"/>
    <w:multiLevelType w:val="hybridMultilevel"/>
    <w:tmpl w:val="89AA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93E99"/>
    <w:multiLevelType w:val="multilevel"/>
    <w:tmpl w:val="8F3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55591"/>
    <w:multiLevelType w:val="hybridMultilevel"/>
    <w:tmpl w:val="89201528"/>
    <w:lvl w:ilvl="0" w:tplc="C4D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D60EAE"/>
    <w:multiLevelType w:val="hybridMultilevel"/>
    <w:tmpl w:val="C898E5C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261332"/>
    <w:multiLevelType w:val="multilevel"/>
    <w:tmpl w:val="1DA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AA6200"/>
    <w:multiLevelType w:val="hybridMultilevel"/>
    <w:tmpl w:val="CD06FD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10"/>
  </w:num>
  <w:num w:numId="12">
    <w:abstractNumId w:val="15"/>
  </w:num>
  <w:num w:numId="13">
    <w:abstractNumId w:val="5"/>
  </w:num>
  <w:num w:numId="14">
    <w:abstractNumId w:val="6"/>
  </w:num>
  <w:num w:numId="15">
    <w:abstractNumId w:val="1"/>
  </w:num>
  <w:num w:numId="16">
    <w:abstractNumId w:val="19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AD9"/>
    <w:rsid w:val="00004A03"/>
    <w:rsid w:val="00004A48"/>
    <w:rsid w:val="00012655"/>
    <w:rsid w:val="000131E3"/>
    <w:rsid w:val="00014893"/>
    <w:rsid w:val="00017AC9"/>
    <w:rsid w:val="00021455"/>
    <w:rsid w:val="0003329F"/>
    <w:rsid w:val="0003358C"/>
    <w:rsid w:val="000422BC"/>
    <w:rsid w:val="000456D8"/>
    <w:rsid w:val="00045766"/>
    <w:rsid w:val="00047628"/>
    <w:rsid w:val="0005054A"/>
    <w:rsid w:val="0006540A"/>
    <w:rsid w:val="00072116"/>
    <w:rsid w:val="00080CCD"/>
    <w:rsid w:val="00081EC6"/>
    <w:rsid w:val="0008346A"/>
    <w:rsid w:val="0008413F"/>
    <w:rsid w:val="00085C63"/>
    <w:rsid w:val="00086ACE"/>
    <w:rsid w:val="000871E3"/>
    <w:rsid w:val="000944A5"/>
    <w:rsid w:val="000A4AB5"/>
    <w:rsid w:val="000B0DB2"/>
    <w:rsid w:val="000C16C6"/>
    <w:rsid w:val="000D388D"/>
    <w:rsid w:val="000D5B85"/>
    <w:rsid w:val="000E177F"/>
    <w:rsid w:val="000E1EF5"/>
    <w:rsid w:val="000E3380"/>
    <w:rsid w:val="000E42A0"/>
    <w:rsid w:val="00100A22"/>
    <w:rsid w:val="00106F50"/>
    <w:rsid w:val="00111433"/>
    <w:rsid w:val="00114393"/>
    <w:rsid w:val="00116151"/>
    <w:rsid w:val="00122AC3"/>
    <w:rsid w:val="001255D2"/>
    <w:rsid w:val="0012786B"/>
    <w:rsid w:val="00131C35"/>
    <w:rsid w:val="00135957"/>
    <w:rsid w:val="0014747E"/>
    <w:rsid w:val="00147DEE"/>
    <w:rsid w:val="00154CB6"/>
    <w:rsid w:val="00155C42"/>
    <w:rsid w:val="00156A1F"/>
    <w:rsid w:val="001571B3"/>
    <w:rsid w:val="0016076C"/>
    <w:rsid w:val="001614EA"/>
    <w:rsid w:val="00164D72"/>
    <w:rsid w:val="00166CA6"/>
    <w:rsid w:val="0017412A"/>
    <w:rsid w:val="0017483E"/>
    <w:rsid w:val="00174E68"/>
    <w:rsid w:val="00180E1A"/>
    <w:rsid w:val="001813A6"/>
    <w:rsid w:val="0018500E"/>
    <w:rsid w:val="00187594"/>
    <w:rsid w:val="00191BC2"/>
    <w:rsid w:val="00191F2F"/>
    <w:rsid w:val="00194A21"/>
    <w:rsid w:val="001B417B"/>
    <w:rsid w:val="001B7620"/>
    <w:rsid w:val="001C1261"/>
    <w:rsid w:val="001C3D5B"/>
    <w:rsid w:val="001C53BA"/>
    <w:rsid w:val="001C64A1"/>
    <w:rsid w:val="001E087E"/>
    <w:rsid w:val="001E36A9"/>
    <w:rsid w:val="001E4CEB"/>
    <w:rsid w:val="001F251B"/>
    <w:rsid w:val="001F3CF0"/>
    <w:rsid w:val="0020693A"/>
    <w:rsid w:val="0020733C"/>
    <w:rsid w:val="002074E5"/>
    <w:rsid w:val="00210831"/>
    <w:rsid w:val="0021129A"/>
    <w:rsid w:val="00211EE8"/>
    <w:rsid w:val="00216292"/>
    <w:rsid w:val="00216A5B"/>
    <w:rsid w:val="00224C35"/>
    <w:rsid w:val="00225519"/>
    <w:rsid w:val="00231CB5"/>
    <w:rsid w:val="0023210A"/>
    <w:rsid w:val="00232858"/>
    <w:rsid w:val="002361CB"/>
    <w:rsid w:val="00242F0C"/>
    <w:rsid w:val="00247AF1"/>
    <w:rsid w:val="00255FB0"/>
    <w:rsid w:val="00256053"/>
    <w:rsid w:val="002577AB"/>
    <w:rsid w:val="00264B9D"/>
    <w:rsid w:val="00267928"/>
    <w:rsid w:val="002748DF"/>
    <w:rsid w:val="002758CD"/>
    <w:rsid w:val="00287E62"/>
    <w:rsid w:val="00290855"/>
    <w:rsid w:val="002A0F01"/>
    <w:rsid w:val="002A628F"/>
    <w:rsid w:val="002A7F9E"/>
    <w:rsid w:val="002D4462"/>
    <w:rsid w:val="002D49A8"/>
    <w:rsid w:val="002E5F7D"/>
    <w:rsid w:val="002E6663"/>
    <w:rsid w:val="002E72D5"/>
    <w:rsid w:val="002F0550"/>
    <w:rsid w:val="002F2D28"/>
    <w:rsid w:val="002F6F9F"/>
    <w:rsid w:val="003010ED"/>
    <w:rsid w:val="0030124E"/>
    <w:rsid w:val="0030172B"/>
    <w:rsid w:val="00305E12"/>
    <w:rsid w:val="00310228"/>
    <w:rsid w:val="0032545E"/>
    <w:rsid w:val="0032761A"/>
    <w:rsid w:val="0033606C"/>
    <w:rsid w:val="003373A4"/>
    <w:rsid w:val="00340646"/>
    <w:rsid w:val="00343151"/>
    <w:rsid w:val="00354D87"/>
    <w:rsid w:val="00357056"/>
    <w:rsid w:val="003630DF"/>
    <w:rsid w:val="0036534E"/>
    <w:rsid w:val="00384E78"/>
    <w:rsid w:val="00384EA8"/>
    <w:rsid w:val="0038565B"/>
    <w:rsid w:val="003868E4"/>
    <w:rsid w:val="0039065D"/>
    <w:rsid w:val="00394534"/>
    <w:rsid w:val="003A3410"/>
    <w:rsid w:val="003A3AA4"/>
    <w:rsid w:val="003B38E4"/>
    <w:rsid w:val="003B4058"/>
    <w:rsid w:val="003C1B44"/>
    <w:rsid w:val="003C4C13"/>
    <w:rsid w:val="003C5552"/>
    <w:rsid w:val="003D25CD"/>
    <w:rsid w:val="003D5762"/>
    <w:rsid w:val="003E1C70"/>
    <w:rsid w:val="003E67B6"/>
    <w:rsid w:val="003F4E8D"/>
    <w:rsid w:val="003F5C54"/>
    <w:rsid w:val="003F5C98"/>
    <w:rsid w:val="00402C23"/>
    <w:rsid w:val="00403045"/>
    <w:rsid w:val="00412C78"/>
    <w:rsid w:val="00422772"/>
    <w:rsid w:val="004227CE"/>
    <w:rsid w:val="004235CF"/>
    <w:rsid w:val="004247C9"/>
    <w:rsid w:val="0042481A"/>
    <w:rsid w:val="00433908"/>
    <w:rsid w:val="00442CD6"/>
    <w:rsid w:val="00444242"/>
    <w:rsid w:val="00456706"/>
    <w:rsid w:val="0046025B"/>
    <w:rsid w:val="0046103E"/>
    <w:rsid w:val="00474EDE"/>
    <w:rsid w:val="00475499"/>
    <w:rsid w:val="00497951"/>
    <w:rsid w:val="004A0484"/>
    <w:rsid w:val="004A1F1A"/>
    <w:rsid w:val="004A38D3"/>
    <w:rsid w:val="004A45CF"/>
    <w:rsid w:val="004C0C3D"/>
    <w:rsid w:val="004E037F"/>
    <w:rsid w:val="004E1162"/>
    <w:rsid w:val="004E41CB"/>
    <w:rsid w:val="004F09A1"/>
    <w:rsid w:val="005035D4"/>
    <w:rsid w:val="005103B3"/>
    <w:rsid w:val="0051312E"/>
    <w:rsid w:val="00514C19"/>
    <w:rsid w:val="00532109"/>
    <w:rsid w:val="005358DC"/>
    <w:rsid w:val="00544C04"/>
    <w:rsid w:val="0055147F"/>
    <w:rsid w:val="005546F9"/>
    <w:rsid w:val="0055667E"/>
    <w:rsid w:val="00560F3F"/>
    <w:rsid w:val="0056355B"/>
    <w:rsid w:val="00563EC6"/>
    <w:rsid w:val="00565394"/>
    <w:rsid w:val="005709F9"/>
    <w:rsid w:val="00571A32"/>
    <w:rsid w:val="00571A7D"/>
    <w:rsid w:val="005749A7"/>
    <w:rsid w:val="00574F10"/>
    <w:rsid w:val="00584652"/>
    <w:rsid w:val="00585621"/>
    <w:rsid w:val="005860FB"/>
    <w:rsid w:val="005947F3"/>
    <w:rsid w:val="00594DFB"/>
    <w:rsid w:val="005A28EA"/>
    <w:rsid w:val="005A3365"/>
    <w:rsid w:val="005A583F"/>
    <w:rsid w:val="005A63A4"/>
    <w:rsid w:val="005C2BBA"/>
    <w:rsid w:val="005C3506"/>
    <w:rsid w:val="005C42A2"/>
    <w:rsid w:val="005E19AE"/>
    <w:rsid w:val="005E2484"/>
    <w:rsid w:val="005F50DD"/>
    <w:rsid w:val="00602B97"/>
    <w:rsid w:val="0060525B"/>
    <w:rsid w:val="00613B32"/>
    <w:rsid w:val="006175DB"/>
    <w:rsid w:val="00620D8F"/>
    <w:rsid w:val="0063184A"/>
    <w:rsid w:val="0064157E"/>
    <w:rsid w:val="00645A29"/>
    <w:rsid w:val="006461A7"/>
    <w:rsid w:val="006462BC"/>
    <w:rsid w:val="00647D06"/>
    <w:rsid w:val="00651525"/>
    <w:rsid w:val="006515D2"/>
    <w:rsid w:val="00653070"/>
    <w:rsid w:val="00661D92"/>
    <w:rsid w:val="00663D41"/>
    <w:rsid w:val="006823F6"/>
    <w:rsid w:val="006833CD"/>
    <w:rsid w:val="006A49E9"/>
    <w:rsid w:val="006A4A39"/>
    <w:rsid w:val="006B12D4"/>
    <w:rsid w:val="006B28E2"/>
    <w:rsid w:val="006B7433"/>
    <w:rsid w:val="006E1E38"/>
    <w:rsid w:val="006E7C1A"/>
    <w:rsid w:val="006F7256"/>
    <w:rsid w:val="006F7DB7"/>
    <w:rsid w:val="00704B7F"/>
    <w:rsid w:val="0071358B"/>
    <w:rsid w:val="00714E1A"/>
    <w:rsid w:val="0072142D"/>
    <w:rsid w:val="007237DF"/>
    <w:rsid w:val="00724F46"/>
    <w:rsid w:val="007268DD"/>
    <w:rsid w:val="00726F6F"/>
    <w:rsid w:val="00731AA0"/>
    <w:rsid w:val="00737EDE"/>
    <w:rsid w:val="007423F2"/>
    <w:rsid w:val="0074261A"/>
    <w:rsid w:val="00742661"/>
    <w:rsid w:val="0074676C"/>
    <w:rsid w:val="007473C9"/>
    <w:rsid w:val="00755440"/>
    <w:rsid w:val="00761F9B"/>
    <w:rsid w:val="00762D01"/>
    <w:rsid w:val="007702C2"/>
    <w:rsid w:val="00770E1D"/>
    <w:rsid w:val="007900CE"/>
    <w:rsid w:val="00795E59"/>
    <w:rsid w:val="007B07FA"/>
    <w:rsid w:val="007B2111"/>
    <w:rsid w:val="007B5750"/>
    <w:rsid w:val="007C34FB"/>
    <w:rsid w:val="007C410B"/>
    <w:rsid w:val="007C6483"/>
    <w:rsid w:val="007D24ED"/>
    <w:rsid w:val="007F2AA9"/>
    <w:rsid w:val="00805DAF"/>
    <w:rsid w:val="00820391"/>
    <w:rsid w:val="008212C3"/>
    <w:rsid w:val="00821B73"/>
    <w:rsid w:val="0082674D"/>
    <w:rsid w:val="008270F6"/>
    <w:rsid w:val="00831363"/>
    <w:rsid w:val="00835377"/>
    <w:rsid w:val="0084179A"/>
    <w:rsid w:val="008428B1"/>
    <w:rsid w:val="008452F6"/>
    <w:rsid w:val="008545B1"/>
    <w:rsid w:val="00861D42"/>
    <w:rsid w:val="00863FEB"/>
    <w:rsid w:val="00864822"/>
    <w:rsid w:val="00871255"/>
    <w:rsid w:val="008746BF"/>
    <w:rsid w:val="00880E54"/>
    <w:rsid w:val="008819E6"/>
    <w:rsid w:val="00882717"/>
    <w:rsid w:val="00884154"/>
    <w:rsid w:val="008B0559"/>
    <w:rsid w:val="008B7A23"/>
    <w:rsid w:val="008C69C1"/>
    <w:rsid w:val="008D16F0"/>
    <w:rsid w:val="008D1C81"/>
    <w:rsid w:val="008D1EC2"/>
    <w:rsid w:val="008D4E5E"/>
    <w:rsid w:val="008D76B2"/>
    <w:rsid w:val="008E23E7"/>
    <w:rsid w:val="008E2D9A"/>
    <w:rsid w:val="00907CEA"/>
    <w:rsid w:val="009149FE"/>
    <w:rsid w:val="00915B7C"/>
    <w:rsid w:val="009233D2"/>
    <w:rsid w:val="00933ED1"/>
    <w:rsid w:val="00936547"/>
    <w:rsid w:val="00941BF6"/>
    <w:rsid w:val="00946C1B"/>
    <w:rsid w:val="0096428E"/>
    <w:rsid w:val="00966397"/>
    <w:rsid w:val="00967972"/>
    <w:rsid w:val="009703E2"/>
    <w:rsid w:val="009736DB"/>
    <w:rsid w:val="0097679A"/>
    <w:rsid w:val="0098114F"/>
    <w:rsid w:val="00985E79"/>
    <w:rsid w:val="00993560"/>
    <w:rsid w:val="009A1B68"/>
    <w:rsid w:val="009A2A97"/>
    <w:rsid w:val="009B041E"/>
    <w:rsid w:val="009B354E"/>
    <w:rsid w:val="009B4F71"/>
    <w:rsid w:val="009C413A"/>
    <w:rsid w:val="009D0BCC"/>
    <w:rsid w:val="009D19DE"/>
    <w:rsid w:val="009D3DBD"/>
    <w:rsid w:val="009D419E"/>
    <w:rsid w:val="009F173F"/>
    <w:rsid w:val="009F40E8"/>
    <w:rsid w:val="00A00630"/>
    <w:rsid w:val="00A05597"/>
    <w:rsid w:val="00A13A4D"/>
    <w:rsid w:val="00A14B36"/>
    <w:rsid w:val="00A169A9"/>
    <w:rsid w:val="00A23261"/>
    <w:rsid w:val="00A25BF1"/>
    <w:rsid w:val="00A2667D"/>
    <w:rsid w:val="00A311F0"/>
    <w:rsid w:val="00A32CD6"/>
    <w:rsid w:val="00A35096"/>
    <w:rsid w:val="00A40BCB"/>
    <w:rsid w:val="00A43EA3"/>
    <w:rsid w:val="00A46602"/>
    <w:rsid w:val="00A5128F"/>
    <w:rsid w:val="00A561AB"/>
    <w:rsid w:val="00A5719D"/>
    <w:rsid w:val="00A666CD"/>
    <w:rsid w:val="00A70CBF"/>
    <w:rsid w:val="00A76E28"/>
    <w:rsid w:val="00A80B44"/>
    <w:rsid w:val="00A83708"/>
    <w:rsid w:val="00A87176"/>
    <w:rsid w:val="00A9506D"/>
    <w:rsid w:val="00AA021A"/>
    <w:rsid w:val="00AA12D6"/>
    <w:rsid w:val="00AB22B6"/>
    <w:rsid w:val="00AB6C51"/>
    <w:rsid w:val="00AC0012"/>
    <w:rsid w:val="00AC401D"/>
    <w:rsid w:val="00AD10B5"/>
    <w:rsid w:val="00AD11DF"/>
    <w:rsid w:val="00AD3276"/>
    <w:rsid w:val="00AE20AC"/>
    <w:rsid w:val="00AE47A0"/>
    <w:rsid w:val="00AE53F1"/>
    <w:rsid w:val="00AE6542"/>
    <w:rsid w:val="00AF0405"/>
    <w:rsid w:val="00AF3178"/>
    <w:rsid w:val="00AF74A0"/>
    <w:rsid w:val="00B00BEA"/>
    <w:rsid w:val="00B0511E"/>
    <w:rsid w:val="00B052DA"/>
    <w:rsid w:val="00B071E1"/>
    <w:rsid w:val="00B11C19"/>
    <w:rsid w:val="00B1282B"/>
    <w:rsid w:val="00B20BDB"/>
    <w:rsid w:val="00B255D2"/>
    <w:rsid w:val="00B33563"/>
    <w:rsid w:val="00B42951"/>
    <w:rsid w:val="00B44184"/>
    <w:rsid w:val="00B47DEC"/>
    <w:rsid w:val="00B47F99"/>
    <w:rsid w:val="00B47FA4"/>
    <w:rsid w:val="00B524A3"/>
    <w:rsid w:val="00B609BC"/>
    <w:rsid w:val="00B62D1C"/>
    <w:rsid w:val="00B6371F"/>
    <w:rsid w:val="00B6665B"/>
    <w:rsid w:val="00B66CDF"/>
    <w:rsid w:val="00B739C2"/>
    <w:rsid w:val="00B761CB"/>
    <w:rsid w:val="00B8032A"/>
    <w:rsid w:val="00B80539"/>
    <w:rsid w:val="00B84BAA"/>
    <w:rsid w:val="00B8608A"/>
    <w:rsid w:val="00B90EEC"/>
    <w:rsid w:val="00BA14C3"/>
    <w:rsid w:val="00BB2493"/>
    <w:rsid w:val="00BB27A2"/>
    <w:rsid w:val="00BB3B13"/>
    <w:rsid w:val="00BC2110"/>
    <w:rsid w:val="00BC49E7"/>
    <w:rsid w:val="00BC64DB"/>
    <w:rsid w:val="00BD095C"/>
    <w:rsid w:val="00BD12D1"/>
    <w:rsid w:val="00BD2171"/>
    <w:rsid w:val="00BE1254"/>
    <w:rsid w:val="00BE1317"/>
    <w:rsid w:val="00BE2A79"/>
    <w:rsid w:val="00BE2FE9"/>
    <w:rsid w:val="00BF5AD9"/>
    <w:rsid w:val="00BF6776"/>
    <w:rsid w:val="00C007C7"/>
    <w:rsid w:val="00C01138"/>
    <w:rsid w:val="00C02760"/>
    <w:rsid w:val="00C0443C"/>
    <w:rsid w:val="00C117ED"/>
    <w:rsid w:val="00C12EFF"/>
    <w:rsid w:val="00C170FE"/>
    <w:rsid w:val="00C17311"/>
    <w:rsid w:val="00C22C40"/>
    <w:rsid w:val="00C261F6"/>
    <w:rsid w:val="00C27D05"/>
    <w:rsid w:val="00C30A01"/>
    <w:rsid w:val="00C36275"/>
    <w:rsid w:val="00C37F47"/>
    <w:rsid w:val="00C42E6C"/>
    <w:rsid w:val="00C46A0A"/>
    <w:rsid w:val="00C6500A"/>
    <w:rsid w:val="00C66E3D"/>
    <w:rsid w:val="00C709F1"/>
    <w:rsid w:val="00C71F5E"/>
    <w:rsid w:val="00C73B2F"/>
    <w:rsid w:val="00C809D2"/>
    <w:rsid w:val="00C82F78"/>
    <w:rsid w:val="00C87C79"/>
    <w:rsid w:val="00C97803"/>
    <w:rsid w:val="00CA291E"/>
    <w:rsid w:val="00CA39CC"/>
    <w:rsid w:val="00CA44EE"/>
    <w:rsid w:val="00CA474B"/>
    <w:rsid w:val="00CA6777"/>
    <w:rsid w:val="00CB007B"/>
    <w:rsid w:val="00CB22E6"/>
    <w:rsid w:val="00CC2B76"/>
    <w:rsid w:val="00CC3BF2"/>
    <w:rsid w:val="00CD0AE4"/>
    <w:rsid w:val="00CE58CD"/>
    <w:rsid w:val="00CF1FC5"/>
    <w:rsid w:val="00CF6EA0"/>
    <w:rsid w:val="00D00FF4"/>
    <w:rsid w:val="00D02AFA"/>
    <w:rsid w:val="00D10B89"/>
    <w:rsid w:val="00D128D3"/>
    <w:rsid w:val="00D14845"/>
    <w:rsid w:val="00D17AD0"/>
    <w:rsid w:val="00D2400A"/>
    <w:rsid w:val="00D45A38"/>
    <w:rsid w:val="00D46A4A"/>
    <w:rsid w:val="00D507AB"/>
    <w:rsid w:val="00D51F0E"/>
    <w:rsid w:val="00D5396F"/>
    <w:rsid w:val="00D66A40"/>
    <w:rsid w:val="00D72E41"/>
    <w:rsid w:val="00D73927"/>
    <w:rsid w:val="00D85EBB"/>
    <w:rsid w:val="00D9083A"/>
    <w:rsid w:val="00D910CB"/>
    <w:rsid w:val="00D96463"/>
    <w:rsid w:val="00DA0429"/>
    <w:rsid w:val="00DA680C"/>
    <w:rsid w:val="00DA6F08"/>
    <w:rsid w:val="00DA739D"/>
    <w:rsid w:val="00DB0ED2"/>
    <w:rsid w:val="00DB18A9"/>
    <w:rsid w:val="00DB63C9"/>
    <w:rsid w:val="00DC57BC"/>
    <w:rsid w:val="00DC5B43"/>
    <w:rsid w:val="00DD2275"/>
    <w:rsid w:val="00DE4D22"/>
    <w:rsid w:val="00DF203E"/>
    <w:rsid w:val="00DF33F1"/>
    <w:rsid w:val="00DF45DB"/>
    <w:rsid w:val="00E046CD"/>
    <w:rsid w:val="00E0473D"/>
    <w:rsid w:val="00E04D96"/>
    <w:rsid w:val="00E05E67"/>
    <w:rsid w:val="00E05F3A"/>
    <w:rsid w:val="00E142BA"/>
    <w:rsid w:val="00E16F97"/>
    <w:rsid w:val="00E24A36"/>
    <w:rsid w:val="00E2557B"/>
    <w:rsid w:val="00E31152"/>
    <w:rsid w:val="00E317C5"/>
    <w:rsid w:val="00E322DD"/>
    <w:rsid w:val="00E33790"/>
    <w:rsid w:val="00E376EA"/>
    <w:rsid w:val="00E46E78"/>
    <w:rsid w:val="00E474E5"/>
    <w:rsid w:val="00E507A5"/>
    <w:rsid w:val="00E62444"/>
    <w:rsid w:val="00E6382B"/>
    <w:rsid w:val="00E70C3B"/>
    <w:rsid w:val="00E722AB"/>
    <w:rsid w:val="00E740F7"/>
    <w:rsid w:val="00E750D8"/>
    <w:rsid w:val="00E75C5E"/>
    <w:rsid w:val="00E90A55"/>
    <w:rsid w:val="00E94D9A"/>
    <w:rsid w:val="00EA4EBD"/>
    <w:rsid w:val="00EB4BCC"/>
    <w:rsid w:val="00EC1E2B"/>
    <w:rsid w:val="00ED120D"/>
    <w:rsid w:val="00ED3825"/>
    <w:rsid w:val="00EE3E0A"/>
    <w:rsid w:val="00EE434A"/>
    <w:rsid w:val="00EE54C2"/>
    <w:rsid w:val="00EE6807"/>
    <w:rsid w:val="00F00009"/>
    <w:rsid w:val="00F02A8E"/>
    <w:rsid w:val="00F04418"/>
    <w:rsid w:val="00F1097A"/>
    <w:rsid w:val="00F13C3B"/>
    <w:rsid w:val="00F151DA"/>
    <w:rsid w:val="00F15D82"/>
    <w:rsid w:val="00F20897"/>
    <w:rsid w:val="00F2118A"/>
    <w:rsid w:val="00F27205"/>
    <w:rsid w:val="00F32935"/>
    <w:rsid w:val="00F340D2"/>
    <w:rsid w:val="00F368CF"/>
    <w:rsid w:val="00F4223C"/>
    <w:rsid w:val="00F5333E"/>
    <w:rsid w:val="00F568A5"/>
    <w:rsid w:val="00F57F14"/>
    <w:rsid w:val="00F604DD"/>
    <w:rsid w:val="00F62173"/>
    <w:rsid w:val="00F76285"/>
    <w:rsid w:val="00F829F6"/>
    <w:rsid w:val="00F82B11"/>
    <w:rsid w:val="00F830AB"/>
    <w:rsid w:val="00F9060A"/>
    <w:rsid w:val="00FB05C4"/>
    <w:rsid w:val="00FB3713"/>
    <w:rsid w:val="00FB6325"/>
    <w:rsid w:val="00FB669D"/>
    <w:rsid w:val="00FB6A96"/>
    <w:rsid w:val="00FC1D23"/>
    <w:rsid w:val="00FC22AE"/>
    <w:rsid w:val="00FC73F2"/>
    <w:rsid w:val="00FD2055"/>
    <w:rsid w:val="00FD2D16"/>
    <w:rsid w:val="00FD3E73"/>
    <w:rsid w:val="00FD52E5"/>
    <w:rsid w:val="00FE1101"/>
    <w:rsid w:val="00FE2EE5"/>
    <w:rsid w:val="00FE60B5"/>
    <w:rsid w:val="00FF155D"/>
    <w:rsid w:val="00F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C2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194A21"/>
    <w:pPr>
      <w:keepNext/>
      <w:outlineLvl w:val="0"/>
    </w:pPr>
    <w:rPr>
      <w:rFonts w:ascii="Book Antiqua Bold Italic" w:hAnsi="Book Antiqua Bold Italic"/>
      <w:b/>
      <w:color w:val="00C578"/>
      <w:sz w:val="16"/>
    </w:rPr>
  </w:style>
  <w:style w:type="paragraph" w:styleId="Heading2">
    <w:name w:val="heading 2"/>
    <w:basedOn w:val="Normal"/>
    <w:next w:val="Normal"/>
    <w:qFormat/>
    <w:rsid w:val="00194A21"/>
    <w:pPr>
      <w:keepNext/>
      <w:outlineLvl w:val="1"/>
    </w:pPr>
    <w:rPr>
      <w:rFonts w:ascii="Arial" w:eastAsia="Times New Roman" w:hAnsi="Arial"/>
      <w:b/>
      <w:sz w:val="19"/>
      <w:u w:val="single"/>
    </w:rPr>
  </w:style>
  <w:style w:type="paragraph" w:styleId="Heading3">
    <w:name w:val="heading 3"/>
    <w:basedOn w:val="Normal"/>
    <w:next w:val="Normal"/>
    <w:qFormat/>
    <w:rsid w:val="00194A21"/>
    <w:pPr>
      <w:keepNext/>
      <w:outlineLvl w:val="2"/>
    </w:pPr>
    <w:rPr>
      <w:rFonts w:ascii="Arial" w:eastAsia="Times New Roman" w:hAnsi="Arial"/>
      <w:sz w:val="19"/>
      <w:u w:val="single"/>
    </w:rPr>
  </w:style>
  <w:style w:type="paragraph" w:styleId="Heading4">
    <w:name w:val="heading 4"/>
    <w:basedOn w:val="Normal"/>
    <w:next w:val="Normal"/>
    <w:qFormat/>
    <w:rsid w:val="00194A21"/>
    <w:pPr>
      <w:keepNext/>
      <w:outlineLvl w:val="3"/>
    </w:pPr>
    <w:rPr>
      <w:rFonts w:ascii="Arial" w:eastAsia="Times New Roman" w:hAnsi="Arial"/>
      <w:b/>
      <w:sz w:val="20"/>
    </w:rPr>
  </w:style>
  <w:style w:type="paragraph" w:styleId="Heading5">
    <w:name w:val="heading 5"/>
    <w:basedOn w:val="Normal"/>
    <w:next w:val="Normal"/>
    <w:qFormat/>
    <w:rsid w:val="00194A21"/>
    <w:pPr>
      <w:keepNext/>
      <w:ind w:left="6480" w:firstLine="720"/>
      <w:outlineLvl w:val="4"/>
    </w:pPr>
    <w:rPr>
      <w:rFonts w:ascii="Arial" w:eastAsia="Times New Roman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4A21"/>
    <w:pPr>
      <w:spacing w:line="180" w:lineRule="exact"/>
    </w:pPr>
    <w:rPr>
      <w:rFonts w:ascii="ITC Legacy Sans Book" w:hAnsi="ITC Legacy Sans Book"/>
      <w:spacing w:val="3"/>
      <w:sz w:val="16"/>
    </w:rPr>
  </w:style>
  <w:style w:type="character" w:styleId="Hyperlink">
    <w:name w:val="Hyperlink"/>
    <w:basedOn w:val="DefaultParagraphFont"/>
    <w:rsid w:val="00194A21"/>
    <w:rPr>
      <w:color w:val="0000FF"/>
      <w:u w:val="single"/>
    </w:rPr>
  </w:style>
  <w:style w:type="paragraph" w:styleId="BodyText2">
    <w:name w:val="Body Text 2"/>
    <w:basedOn w:val="Normal"/>
    <w:rsid w:val="00194A21"/>
    <w:pPr>
      <w:spacing w:line="150" w:lineRule="exact"/>
    </w:pPr>
    <w:rPr>
      <w:rFonts w:ascii="ITC Legacy Sans Book" w:hAnsi="ITC Legacy Sans Book"/>
      <w:spacing w:val="3"/>
      <w:sz w:val="13"/>
    </w:rPr>
  </w:style>
  <w:style w:type="character" w:styleId="FollowedHyperlink">
    <w:name w:val="FollowedHyperlink"/>
    <w:basedOn w:val="DefaultParagraphFont"/>
    <w:rsid w:val="00194A21"/>
    <w:rPr>
      <w:color w:val="800080"/>
      <w:u w:val="single"/>
    </w:rPr>
  </w:style>
  <w:style w:type="paragraph" w:styleId="Header">
    <w:name w:val="header"/>
    <w:basedOn w:val="Normal"/>
    <w:rsid w:val="00194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4A2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94A21"/>
    <w:pPr>
      <w:jc w:val="both"/>
    </w:pPr>
    <w:rPr>
      <w:rFonts w:ascii="Arial" w:eastAsia="Times New Roman" w:hAnsi="Arial"/>
      <w:sz w:val="18"/>
    </w:rPr>
  </w:style>
  <w:style w:type="character" w:styleId="Strong">
    <w:name w:val="Strong"/>
    <w:basedOn w:val="DefaultParagraphFont"/>
    <w:uiPriority w:val="22"/>
    <w:qFormat/>
    <w:rsid w:val="00194A21"/>
    <w:rPr>
      <w:b/>
    </w:rPr>
  </w:style>
  <w:style w:type="paragraph" w:styleId="BalloonText">
    <w:name w:val="Balloon Text"/>
    <w:basedOn w:val="Normal"/>
    <w:semiHidden/>
    <w:rsid w:val="00365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87176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uiPriority w:val="20"/>
    <w:qFormat/>
    <w:rsid w:val="007423F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D20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761F9B"/>
    <w:pPr>
      <w:widowControl w:val="0"/>
      <w:autoSpaceDE w:val="0"/>
      <w:autoSpaceDN w:val="0"/>
      <w:adjustRightInd w:val="0"/>
    </w:pPr>
    <w:rPr>
      <w:rFonts w:ascii="LDNGK F+ Advhlv" w:eastAsia="Times New Roman" w:hAnsi="LDNGK F+ Advhlv" w:cs="LDNGK F+ Advhlv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761F9B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61F9B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61F9B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61F9B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456706"/>
    <w:rPr>
      <w:rFonts w:ascii="ECPHB C+ Advhlv" w:hAnsi="ECPHB C+ Advhlv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456706"/>
    <w:rPr>
      <w:rFonts w:ascii="ECPHB C+ Advhlv" w:hAnsi="ECPHB C+ Advhlv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56706"/>
    <w:pPr>
      <w:spacing w:line="243" w:lineRule="atLeast"/>
    </w:pPr>
    <w:rPr>
      <w:rFonts w:ascii="ECPHB C+ Advhlv" w:hAnsi="ECPHB C+ Advhlv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456706"/>
    <w:rPr>
      <w:rFonts w:ascii="ECPHB C+ Advhlv" w:hAnsi="ECPHB C+ Advhlv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2A628F"/>
    <w:pPr>
      <w:widowControl/>
      <w:spacing w:line="221" w:lineRule="atLeast"/>
    </w:pPr>
    <w:rPr>
      <w:rFonts w:ascii="Helvetica LT Std" w:eastAsia="Calibri" w:hAnsi="Helvetica LT Std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2A628F"/>
    <w:pPr>
      <w:widowControl/>
      <w:spacing w:line="211" w:lineRule="atLeast"/>
    </w:pPr>
    <w:rPr>
      <w:rFonts w:ascii="Helvetica LT Std" w:eastAsia="Calibri" w:hAnsi="Helvetica LT Std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2A628F"/>
    <w:pPr>
      <w:widowControl/>
      <w:spacing w:line="221" w:lineRule="atLeast"/>
    </w:pPr>
    <w:rPr>
      <w:rFonts w:ascii="Helvetica LT Std" w:eastAsia="Calibri" w:hAnsi="Helvetica LT Std" w:cs="Times New Roman"/>
      <w:color w:val="auto"/>
    </w:rPr>
  </w:style>
  <w:style w:type="character" w:customStyle="1" w:styleId="A5">
    <w:name w:val="A5"/>
    <w:uiPriority w:val="99"/>
    <w:rsid w:val="002A628F"/>
    <w:rPr>
      <w:rFonts w:ascii="Bembo Std" w:hAnsi="Bembo Std" w:cs="Bembo Std"/>
      <w:color w:val="221E1F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2A628F"/>
    <w:pPr>
      <w:widowControl/>
      <w:spacing w:line="211" w:lineRule="atLeast"/>
    </w:pPr>
    <w:rPr>
      <w:rFonts w:ascii="Helvetica LT Std" w:eastAsia="Calibri" w:hAnsi="Helvetica LT Std" w:cs="Times New Roman"/>
      <w:color w:val="auto"/>
    </w:rPr>
  </w:style>
  <w:style w:type="character" w:customStyle="1" w:styleId="A10">
    <w:name w:val="A10"/>
    <w:uiPriority w:val="99"/>
    <w:rsid w:val="002A628F"/>
    <w:rPr>
      <w:rFonts w:ascii="Bembo Std" w:hAnsi="Bembo Std" w:cs="Bembo Std"/>
      <w:b/>
      <w:bCs/>
      <w:color w:val="221E1F"/>
      <w:sz w:val="21"/>
      <w:szCs w:val="21"/>
      <w:u w:val="single"/>
    </w:rPr>
  </w:style>
  <w:style w:type="paragraph" w:customStyle="1" w:styleId="LRHeadLevel1">
    <w:name w:val="LR_HeadLevel1"/>
    <w:basedOn w:val="Normal"/>
    <w:uiPriority w:val="99"/>
    <w:rsid w:val="001255D2"/>
    <w:pPr>
      <w:widowControl w:val="0"/>
      <w:autoSpaceDE w:val="0"/>
      <w:autoSpaceDN w:val="0"/>
      <w:adjustRightInd w:val="0"/>
      <w:spacing w:before="227" w:after="113" w:line="260" w:lineRule="atLeast"/>
      <w:textAlignment w:val="center"/>
    </w:pPr>
    <w:rPr>
      <w:rFonts w:ascii="HelveticaLTStd-Roman" w:eastAsia="Times New Roman" w:hAnsi="HelveticaLTStd-Roman" w:cs="HelveticaLTStd-Roman"/>
      <w:color w:val="000000"/>
      <w:sz w:val="22"/>
      <w:szCs w:val="22"/>
    </w:rPr>
  </w:style>
  <w:style w:type="paragraph" w:customStyle="1" w:styleId="LRParaFL">
    <w:name w:val="LR_Para_FL"/>
    <w:basedOn w:val="Normal"/>
    <w:next w:val="Normal"/>
    <w:uiPriority w:val="99"/>
    <w:rsid w:val="001255D2"/>
    <w:pPr>
      <w:keepNext/>
      <w:keepLines/>
      <w:widowControl w:val="0"/>
      <w:tabs>
        <w:tab w:val="left" w:pos="3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BemboStd" w:eastAsia="Times New Roman" w:hAnsi="BemboStd" w:cs="BemboStd"/>
      <w:color w:val="000000"/>
      <w:sz w:val="21"/>
      <w:szCs w:val="21"/>
    </w:rPr>
  </w:style>
  <w:style w:type="paragraph" w:customStyle="1" w:styleId="LRParaindent">
    <w:name w:val="LR_Para_indent"/>
    <w:basedOn w:val="LRParaFL"/>
    <w:uiPriority w:val="99"/>
    <w:rsid w:val="001255D2"/>
    <w:pPr>
      <w:ind w:firstLine="283"/>
    </w:pPr>
  </w:style>
  <w:style w:type="paragraph" w:customStyle="1" w:styleId="LRQuote1">
    <w:name w:val="LR_Quote1"/>
    <w:basedOn w:val="Normal"/>
    <w:uiPriority w:val="99"/>
    <w:rsid w:val="001255D2"/>
    <w:pPr>
      <w:widowControl w:val="0"/>
      <w:tabs>
        <w:tab w:val="left" w:pos="907"/>
      </w:tabs>
      <w:suppressAutoHyphens/>
      <w:autoSpaceDE w:val="0"/>
      <w:autoSpaceDN w:val="0"/>
      <w:adjustRightInd w:val="0"/>
      <w:spacing w:line="220" w:lineRule="atLeast"/>
      <w:ind w:left="454"/>
      <w:jc w:val="both"/>
      <w:textAlignment w:val="center"/>
    </w:pPr>
    <w:rPr>
      <w:rFonts w:ascii="BemboStd" w:eastAsia="Times New Roman" w:hAnsi="BemboStd" w:cs="BemboStd"/>
      <w:color w:val="000000"/>
      <w:sz w:val="19"/>
      <w:szCs w:val="19"/>
      <w:lang w:val="en-GB"/>
    </w:rPr>
  </w:style>
  <w:style w:type="character" w:customStyle="1" w:styleId="BemboItalix">
    <w:name w:val="BemboItalix"/>
    <w:uiPriority w:val="99"/>
    <w:rsid w:val="001255D2"/>
    <w:rPr>
      <w:rFonts w:ascii="BemboStd-Italic" w:hAnsi="BemboStd-Italic" w:cs="BemboStd-Italic"/>
      <w:i/>
      <w:iCs/>
    </w:rPr>
  </w:style>
  <w:style w:type="paragraph" w:customStyle="1" w:styleId="teal">
    <w:name w:val="teal"/>
    <w:basedOn w:val="Normal"/>
    <w:rsid w:val="00164D7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mid-grey-text">
    <w:name w:val="mid-grey-text"/>
    <w:basedOn w:val="Normal"/>
    <w:rsid w:val="00164D7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Pa13">
    <w:name w:val="Pa13"/>
    <w:basedOn w:val="Default"/>
    <w:next w:val="Default"/>
    <w:uiPriority w:val="99"/>
    <w:rsid w:val="00CC2B76"/>
    <w:pPr>
      <w:widowControl/>
      <w:spacing w:line="221" w:lineRule="atLeast"/>
    </w:pPr>
    <w:rPr>
      <w:rFonts w:ascii="Helvetica LT Std" w:eastAsia="Times" w:hAnsi="Helvetica LT Std" w:cs="Times New Roman"/>
      <w:color w:val="auto"/>
    </w:rPr>
  </w:style>
  <w:style w:type="character" w:customStyle="1" w:styleId="A7">
    <w:name w:val="A7"/>
    <w:uiPriority w:val="99"/>
    <w:rsid w:val="00CC2B76"/>
    <w:rPr>
      <w:rFonts w:ascii="Bembo Std" w:hAnsi="Bembo Std" w:cs="Bembo Std"/>
      <w:color w:val="221E1F"/>
      <w:sz w:val="21"/>
      <w:szCs w:val="21"/>
    </w:rPr>
  </w:style>
  <w:style w:type="character" w:customStyle="1" w:styleId="xml-punctuation">
    <w:name w:val="xml-punctuation"/>
    <w:basedOn w:val="DefaultParagraphFont"/>
    <w:rsid w:val="00B6665B"/>
  </w:style>
  <w:style w:type="character" w:customStyle="1" w:styleId="xml-tagname">
    <w:name w:val="xml-tagname"/>
    <w:basedOn w:val="DefaultParagraphFont"/>
    <w:rsid w:val="00B6665B"/>
  </w:style>
  <w:style w:type="paragraph" w:customStyle="1" w:styleId="Pa19">
    <w:name w:val="Pa19"/>
    <w:basedOn w:val="Default"/>
    <w:next w:val="Default"/>
    <w:uiPriority w:val="99"/>
    <w:rsid w:val="009D0BCC"/>
    <w:pPr>
      <w:widowControl/>
      <w:spacing w:line="221" w:lineRule="atLeast"/>
    </w:pPr>
    <w:rPr>
      <w:rFonts w:ascii="Helvetica LT Std" w:eastAsia="Times" w:hAnsi="Helvetica LT Std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9D0BCC"/>
    <w:pPr>
      <w:widowControl/>
      <w:spacing w:line="221" w:lineRule="atLeast"/>
    </w:pPr>
    <w:rPr>
      <w:rFonts w:ascii="Helvetica LT Std" w:eastAsia="Times" w:hAnsi="Helvetica LT Std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9D0BCC"/>
    <w:pPr>
      <w:widowControl/>
      <w:spacing w:line="211" w:lineRule="atLeast"/>
    </w:pPr>
    <w:rPr>
      <w:rFonts w:ascii="Helvetica LT Std" w:eastAsia="Times" w:hAnsi="Helvetica LT Std" w:cs="Times New Roman"/>
      <w:color w:val="auto"/>
    </w:rPr>
  </w:style>
  <w:style w:type="paragraph" w:customStyle="1" w:styleId="para">
    <w:name w:val="para"/>
    <w:basedOn w:val="Normal"/>
    <w:link w:val="paraChar"/>
    <w:qFormat/>
    <w:rsid w:val="00FE2EE5"/>
    <w:pPr>
      <w:spacing w:after="200" w:line="276" w:lineRule="auto"/>
    </w:pPr>
    <w:rPr>
      <w:rFonts w:ascii="Verdana" w:eastAsia="Calibri" w:hAnsi="Verdana"/>
      <w:sz w:val="20"/>
      <w:szCs w:val="22"/>
      <w:lang w:val="en-ZA"/>
    </w:rPr>
  </w:style>
  <w:style w:type="character" w:customStyle="1" w:styleId="paraChar">
    <w:name w:val="para Char"/>
    <w:link w:val="para"/>
    <w:rsid w:val="00FE2EE5"/>
    <w:rPr>
      <w:rFonts w:ascii="Verdana" w:eastAsia="Calibri" w:hAnsi="Verdana"/>
      <w:szCs w:val="22"/>
      <w:lang w:val="en-ZA"/>
    </w:rPr>
  </w:style>
  <w:style w:type="character" w:styleId="CommentReference">
    <w:name w:val="annotation reference"/>
    <w:uiPriority w:val="99"/>
    <w:semiHidden/>
    <w:unhideWhenUsed/>
    <w:rsid w:val="00FE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EE5"/>
    <w:pPr>
      <w:spacing w:after="200" w:line="276" w:lineRule="auto"/>
    </w:pPr>
    <w:rPr>
      <w:rFonts w:ascii="Verdana" w:eastAsia="Calibri" w:hAnsi="Verdana"/>
      <w:sz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EE5"/>
    <w:rPr>
      <w:rFonts w:ascii="Verdana" w:eastAsia="Calibri" w:hAnsi="Verdana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74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  <w:div w:id="4322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16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145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awmarketing@juta.co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galbrief.co.z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aro@juta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\\192.1.1.100\The%20Shrine\%20Creativity%20Junction\For%20Della\JUTA\MS%20Word\:FOOTER.wmf" TargetMode="External"/><Relationship Id="rId2" Type="http://schemas.openxmlformats.org/officeDocument/2006/relationships/image" Target="media/image2.wmf"/><Relationship Id="rId1" Type="http://schemas.openxmlformats.org/officeDocument/2006/relationships/hyperlink" Target="http://www.jutalaw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newintranet\HRlinks\JUTA%20AND%20COMPANY%20LETTERHEAD%20MAY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0B71-9F64-4DAA-BE93-D025308E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JUTA AND COMPANY LETTERHEAD MAY 2006</Template>
  <TotalTime>509</TotalTime>
  <Pages>5</Pages>
  <Words>2431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January 2004</vt:lpstr>
    </vt:vector>
  </TitlesOfParts>
  <Company>...</Company>
  <LinksUpToDate>false</LinksUpToDate>
  <CharactersWithSpaces>15238</CharactersWithSpaces>
  <SharedDoc>false</SharedDoc>
  <HLinks>
    <vt:vector size="12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mailto:%20lawmarketing@juta.co.za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January 2004</dc:title>
  <dc:subject/>
  <dc:creator>ahess</dc:creator>
  <cp:keywords/>
  <cp:lastModifiedBy>Your User Name</cp:lastModifiedBy>
  <cp:revision>9</cp:revision>
  <cp:lastPrinted>2014-02-07T13:09:00Z</cp:lastPrinted>
  <dcterms:created xsi:type="dcterms:W3CDTF">2014-02-06T06:52:00Z</dcterms:created>
  <dcterms:modified xsi:type="dcterms:W3CDTF">2014-02-07T13:12:00Z</dcterms:modified>
</cp:coreProperties>
</file>