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CE09A4" w:rsidRDefault="0032609D" w:rsidP="006C05A6">
      <w:pPr>
        <w:pStyle w:val="Heading1"/>
        <w:rPr>
          <w:b w:val="0"/>
          <w:color w:val="auto"/>
          <w:lang w:val="en-ZA"/>
        </w:rPr>
      </w:pPr>
      <w:r w:rsidRPr="0032609D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5pt;height:106.5pt;visibility:visible">
            <v:imagedata r:id="rId8" o:title="JUTA-Law-(Jpeg)-5K-for-web"/>
          </v:shape>
        </w:pict>
      </w:r>
    </w:p>
    <w:p w:rsidR="008A6FFE" w:rsidRPr="00CE09A4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056FD8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056FD8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314B72" w:rsidRDefault="008A6FFE" w:rsidP="006C05A6">
      <w:pPr>
        <w:pStyle w:val="LegHeadCenteredItalic"/>
      </w:pPr>
      <w:r w:rsidRPr="00314B72">
        <w:t xml:space="preserve">(Bulletin </w:t>
      </w:r>
      <w:r w:rsidR="007461A2" w:rsidRPr="00314B72">
        <w:t>4</w:t>
      </w:r>
      <w:r w:rsidR="00B81C52">
        <w:t>9</w:t>
      </w:r>
      <w:r w:rsidRPr="00314B72">
        <w:t xml:space="preserve"> of 2012, based on Gazettes received during the week dated </w:t>
      </w:r>
      <w:r w:rsidR="00135DA6">
        <w:t xml:space="preserve">23 </w:t>
      </w:r>
      <w:r w:rsidR="00B81C52">
        <w:t xml:space="preserve">to 30 </w:t>
      </w:r>
      <w:r w:rsidR="00C952C4">
        <w:t xml:space="preserve">November </w:t>
      </w:r>
      <w:r w:rsidRPr="00314B72">
        <w:t>2012)</w:t>
      </w:r>
    </w:p>
    <w:p w:rsidR="008A6FFE" w:rsidRPr="00314B72" w:rsidRDefault="008A6FFE" w:rsidP="00F46756">
      <w:pPr>
        <w:pStyle w:val="LegHeadCenteredBold"/>
      </w:pPr>
      <w:r w:rsidRPr="00314B72">
        <w:t>JUTA’S WEEKLY STATUTES BULLETIN</w:t>
      </w:r>
    </w:p>
    <w:p w:rsidR="008A6FFE" w:rsidRPr="00314B72" w:rsidRDefault="008A6FFE" w:rsidP="006C05A6">
      <w:pPr>
        <w:pStyle w:val="LegHeadCenteredItalic"/>
      </w:pPr>
      <w:r w:rsidRPr="00314B72">
        <w:t>ISSN 1022 - 6397</w:t>
      </w:r>
    </w:p>
    <w:p w:rsidR="005E70E5" w:rsidRDefault="005E70E5" w:rsidP="00F46756">
      <w:pPr>
        <w:pStyle w:val="LegHeadCenteredBold"/>
      </w:pPr>
      <w:r w:rsidRPr="00427AE1">
        <w:t>PROCLAMATIONS AND NOTICES</w:t>
      </w:r>
    </w:p>
    <w:p w:rsidR="000555E2" w:rsidRDefault="000555E2" w:rsidP="00126F66">
      <w:pPr>
        <w:pStyle w:val="LegHeadBold"/>
      </w:pPr>
      <w:r w:rsidRPr="000555E2">
        <w:t>Accounting Standards Board:</w:t>
      </w:r>
    </w:p>
    <w:p w:rsidR="000555E2" w:rsidRDefault="000555E2" w:rsidP="000555E2">
      <w:pPr>
        <w:pStyle w:val="LegText"/>
      </w:pPr>
      <w:r w:rsidRPr="000555E2">
        <w:t xml:space="preserve">Exposure drafts of </w:t>
      </w:r>
      <w:r w:rsidRPr="000555E2">
        <w:rPr>
          <w:i/>
        </w:rPr>
        <w:t>Conceptual Framework for General Purpose Financial Reporting by Public Sector Entities: Elements and Recognition in Financial Statements</w:t>
      </w:r>
      <w:r>
        <w:t xml:space="preserve"> (ED 106) and </w:t>
      </w:r>
      <w:r w:rsidRPr="000555E2">
        <w:rPr>
          <w:i/>
        </w:rPr>
        <w:t xml:space="preserve">Conceptual Framework for General Purpose Financial Reporting by Public Sector Entities: Measurement of Assets and Liabilities in Financial Statements </w:t>
      </w:r>
      <w:r>
        <w:t xml:space="preserve">(ED 107) </w:t>
      </w:r>
      <w:r w:rsidRPr="000555E2">
        <w:t xml:space="preserve">published for comment </w:t>
      </w:r>
      <w:r>
        <w:br/>
      </w:r>
      <w:r w:rsidRPr="000555E2">
        <w:t>(BN 1</w:t>
      </w:r>
      <w:r>
        <w:t>9</w:t>
      </w:r>
      <w:r w:rsidRPr="000555E2">
        <w:t xml:space="preserve">3 </w:t>
      </w:r>
      <w:r>
        <w:t xml:space="preserve">in </w:t>
      </w:r>
      <w:r w:rsidRPr="00B81C52">
        <w:rPr>
          <w:i/>
        </w:rPr>
        <w:t>GG</w:t>
      </w:r>
      <w:r>
        <w:t xml:space="preserve"> 35909 of 30 November 2012) (p63)</w:t>
      </w:r>
    </w:p>
    <w:p w:rsidR="0012761A" w:rsidRDefault="0012761A" w:rsidP="00126F66">
      <w:pPr>
        <w:pStyle w:val="LegHeadBold"/>
      </w:pPr>
      <w:r>
        <w:t>Department of Energy:</w:t>
      </w:r>
    </w:p>
    <w:p w:rsidR="0012761A" w:rsidRDefault="0012761A" w:rsidP="0012761A">
      <w:pPr>
        <w:pStyle w:val="LegText"/>
      </w:pPr>
      <w:r>
        <w:t xml:space="preserve">Draft Second National Energy Efficiency Strategy Review </w:t>
      </w:r>
      <w:r w:rsidRPr="000555E2">
        <w:t xml:space="preserve">published for comment </w:t>
      </w:r>
      <w:r>
        <w:br/>
        <w:t xml:space="preserve">(GenN 1000 in </w:t>
      </w:r>
      <w:r w:rsidRPr="00FF5569">
        <w:rPr>
          <w:i/>
        </w:rPr>
        <w:t>GG</w:t>
      </w:r>
      <w:r>
        <w:t xml:space="preserve"> 35920 of 29 November 2012) (p3)</w:t>
      </w:r>
    </w:p>
    <w:p w:rsidR="00126F66" w:rsidRDefault="00126F66" w:rsidP="00126F66">
      <w:pPr>
        <w:pStyle w:val="LegHeadBold"/>
      </w:pPr>
      <w:r>
        <w:t>National Credit Regulator (NCR):</w:t>
      </w:r>
    </w:p>
    <w:p w:rsidR="00126F66" w:rsidRDefault="00126F66" w:rsidP="00126F66">
      <w:pPr>
        <w:pStyle w:val="LegText"/>
      </w:pPr>
      <w:r>
        <w:t xml:space="preserve">Notice of intention to withdraw approval of the credit industry codes of conduct published for comment (GenN 999 in </w:t>
      </w:r>
      <w:r w:rsidRPr="00B81C52">
        <w:rPr>
          <w:i/>
        </w:rPr>
        <w:t>GG</w:t>
      </w:r>
      <w:r>
        <w:t xml:space="preserve"> 35909 of 30 November 2012) (p62)</w:t>
      </w:r>
    </w:p>
    <w:p w:rsidR="0056629F" w:rsidRDefault="00126F66" w:rsidP="00126F66">
      <w:pPr>
        <w:pStyle w:val="LegHeadBold"/>
      </w:pPr>
      <w:r>
        <w:t xml:space="preserve">National Energy Regulator </w:t>
      </w:r>
      <w:r w:rsidR="000555E2">
        <w:t xml:space="preserve">of </w:t>
      </w:r>
      <w:r>
        <w:t>South Africa (NERSA):</w:t>
      </w:r>
    </w:p>
    <w:p w:rsidR="0056629F" w:rsidRDefault="0056629F" w:rsidP="0056629F">
      <w:pPr>
        <w:pStyle w:val="LegText"/>
      </w:pPr>
      <w:r>
        <w:t xml:space="preserve">Consultation paper on municipal tariff guideline, benchmarks and proposed timelines for the municipal tariff approval process for the 2013/14 financial year published for comment </w:t>
      </w:r>
      <w:r>
        <w:br/>
        <w:t xml:space="preserve">(GenN 995 in </w:t>
      </w:r>
      <w:r w:rsidRPr="00B81C52">
        <w:rPr>
          <w:i/>
        </w:rPr>
        <w:t>GG</w:t>
      </w:r>
      <w:r>
        <w:t xml:space="preserve"> 35909 of 30 November 2012) (p</w:t>
      </w:r>
      <w:r w:rsidR="00126F66">
        <w:t>5</w:t>
      </w:r>
      <w:r>
        <w:t>7)</w:t>
      </w:r>
    </w:p>
    <w:p w:rsidR="00126F66" w:rsidRDefault="00126F66" w:rsidP="00126F66">
      <w:pPr>
        <w:pStyle w:val="LegHeadBold"/>
      </w:pPr>
      <w:r>
        <w:t>Statistics South Africa:</w:t>
      </w:r>
    </w:p>
    <w:p w:rsidR="00126F66" w:rsidRDefault="00126F66" w:rsidP="00126F66">
      <w:pPr>
        <w:pStyle w:val="LegText"/>
      </w:pPr>
      <w:r>
        <w:t xml:space="preserve">Consumer Price Index, Rate (Base 2 000 = 100), Rate: October 2012: 5,6 published </w:t>
      </w:r>
      <w:r>
        <w:br/>
        <w:t xml:space="preserve">(GenN 998 in </w:t>
      </w:r>
      <w:r w:rsidRPr="00B81C52">
        <w:rPr>
          <w:i/>
        </w:rPr>
        <w:t>GG</w:t>
      </w:r>
      <w:r>
        <w:t xml:space="preserve"> 35909 of 30 November 2012) (p61)</w:t>
      </w:r>
    </w:p>
    <w:p w:rsidR="001E62CA" w:rsidRDefault="001E62CA" w:rsidP="001E62CA">
      <w:pPr>
        <w:pStyle w:val="LegHeadBold"/>
      </w:pPr>
      <w:r>
        <w:t>CURRENCY AND EXCHANGES ACT 9 OF 1933</w:t>
      </w:r>
    </w:p>
    <w:p w:rsidR="001E62CA" w:rsidRDefault="001E62CA" w:rsidP="001E62CA">
      <w:pPr>
        <w:pStyle w:val="LegText"/>
      </w:pPr>
      <w:r>
        <w:t xml:space="preserve">South African Reserve Bank, Financial Surveillance Department: Cancellation of an authorised dealer in foreign exchange with limited authority for the purposes of the Exchange Control Regulations published (GN R966 in </w:t>
      </w:r>
      <w:r w:rsidRPr="00FF5569">
        <w:rPr>
          <w:i/>
        </w:rPr>
        <w:t>GG</w:t>
      </w:r>
      <w:r>
        <w:t xml:space="preserve"> 35910 of 30 November 2012) (p32)</w:t>
      </w:r>
    </w:p>
    <w:p w:rsidR="0056629F" w:rsidRDefault="0056629F" w:rsidP="001E62CA">
      <w:pPr>
        <w:pStyle w:val="LegHeadBold"/>
      </w:pPr>
      <w:r>
        <w:t>CUSTOMS AND EXCISE ACT 91 OF 1964</w:t>
      </w:r>
    </w:p>
    <w:p w:rsidR="0012761A" w:rsidRDefault="0012761A" w:rsidP="00925BE0">
      <w:pPr>
        <w:pStyle w:val="LegText"/>
      </w:pPr>
      <w:r>
        <w:t xml:space="preserve">Schedule 1 amended with effect from 1 January 2013 </w:t>
      </w:r>
      <w:r w:rsidR="00A366D9">
        <w:br/>
      </w:r>
      <w:r>
        <w:t xml:space="preserve">(GN R977 in </w:t>
      </w:r>
      <w:r w:rsidRPr="00FF5569">
        <w:rPr>
          <w:i/>
        </w:rPr>
        <w:t>GG</w:t>
      </w:r>
      <w:r>
        <w:t xml:space="preserve"> 35921 of 30 November 2012) (p3)</w:t>
      </w:r>
    </w:p>
    <w:p w:rsidR="0012761A" w:rsidRDefault="0012761A" w:rsidP="0012761A">
      <w:pPr>
        <w:pStyle w:val="LegText"/>
      </w:pPr>
      <w:r>
        <w:t xml:space="preserve">Schedule 1 amended with effect from 1 July 2012 </w:t>
      </w:r>
      <w:r w:rsidR="00A366D9">
        <w:br/>
      </w:r>
      <w:r>
        <w:t xml:space="preserve">(GN R978 in </w:t>
      </w:r>
      <w:r w:rsidRPr="00FF5569">
        <w:rPr>
          <w:i/>
        </w:rPr>
        <w:t>GG</w:t>
      </w:r>
      <w:r>
        <w:t xml:space="preserve"> 35921 of 30 November 2012) (p3)</w:t>
      </w:r>
    </w:p>
    <w:p w:rsidR="0012761A" w:rsidRDefault="0012761A" w:rsidP="0012761A">
      <w:pPr>
        <w:pStyle w:val="LegText"/>
      </w:pPr>
      <w:r>
        <w:lastRenderedPageBreak/>
        <w:t xml:space="preserve">Schedule 3 amended </w:t>
      </w:r>
      <w:r w:rsidR="00130596">
        <w:t>with effect from 9 April 201</w:t>
      </w:r>
      <w:r w:rsidR="00A366D9">
        <w:t>0</w:t>
      </w:r>
      <w:r w:rsidR="00130596">
        <w:t xml:space="preserve"> up to and including 31 December 2011 </w:t>
      </w:r>
      <w:r w:rsidR="00130596">
        <w:br/>
      </w:r>
      <w:r>
        <w:t xml:space="preserve">(GN R979 in </w:t>
      </w:r>
      <w:r w:rsidRPr="00FF5569">
        <w:rPr>
          <w:i/>
        </w:rPr>
        <w:t>GG</w:t>
      </w:r>
      <w:r>
        <w:t xml:space="preserve"> 35921 of 30 November 2012) (p87)</w:t>
      </w:r>
    </w:p>
    <w:p w:rsidR="00130596" w:rsidRDefault="00130596" w:rsidP="00130596">
      <w:pPr>
        <w:pStyle w:val="LegText"/>
      </w:pPr>
      <w:r>
        <w:t xml:space="preserve">Schedule 3 amended with effect from 1 January 2012 </w:t>
      </w:r>
      <w:r>
        <w:br/>
        <w:t xml:space="preserve">(GN Rs 980 &amp; 981 in </w:t>
      </w:r>
      <w:r w:rsidRPr="00FF5569">
        <w:rPr>
          <w:i/>
        </w:rPr>
        <w:t>GG</w:t>
      </w:r>
      <w:r>
        <w:t xml:space="preserve"> 35921 of 30 November 2012) (pp 89 &amp; 91)</w:t>
      </w:r>
    </w:p>
    <w:p w:rsidR="0012761A" w:rsidRDefault="0012761A" w:rsidP="0012761A">
      <w:pPr>
        <w:pStyle w:val="LegText"/>
      </w:pPr>
      <w:r>
        <w:t xml:space="preserve">Schedule 4 amended </w:t>
      </w:r>
      <w:r w:rsidR="00130596">
        <w:t xml:space="preserve">with effect from 1 January 2013 </w:t>
      </w:r>
      <w:r w:rsidR="00130596">
        <w:br/>
      </w:r>
      <w:r>
        <w:t>(GN Rs 98</w:t>
      </w:r>
      <w:r w:rsidR="00A366D9">
        <w:t>2</w:t>
      </w:r>
      <w:r>
        <w:t xml:space="preserve">-4 in </w:t>
      </w:r>
      <w:r w:rsidRPr="00FF5569">
        <w:rPr>
          <w:i/>
        </w:rPr>
        <w:t>GG</w:t>
      </w:r>
      <w:r>
        <w:t xml:space="preserve"> 35921 of 30 November 2012) (pp 93, 99 &amp; 108)</w:t>
      </w:r>
    </w:p>
    <w:p w:rsidR="0012761A" w:rsidRDefault="0012761A" w:rsidP="0012761A">
      <w:pPr>
        <w:pStyle w:val="LegText"/>
      </w:pPr>
      <w:r>
        <w:t xml:space="preserve">Schedule 5 amended </w:t>
      </w:r>
      <w:r w:rsidR="00130596">
        <w:t xml:space="preserve">with effect from 1 January 2013 </w:t>
      </w:r>
      <w:r w:rsidR="00130596">
        <w:br/>
      </w:r>
      <w:r>
        <w:t xml:space="preserve">(GN R985 in </w:t>
      </w:r>
      <w:r w:rsidRPr="00FF5569">
        <w:rPr>
          <w:i/>
        </w:rPr>
        <w:t>GG</w:t>
      </w:r>
      <w:r>
        <w:t xml:space="preserve"> 35921 of 30 November 2012) (p110)</w:t>
      </w:r>
    </w:p>
    <w:p w:rsidR="0012761A" w:rsidRDefault="0012761A" w:rsidP="0012761A">
      <w:pPr>
        <w:pStyle w:val="LegText"/>
      </w:pPr>
      <w:r>
        <w:t xml:space="preserve">Schedule 6 amended </w:t>
      </w:r>
      <w:r w:rsidR="00130596">
        <w:t xml:space="preserve">with effect from 1 January 2011 </w:t>
      </w:r>
      <w:r w:rsidR="00130596">
        <w:br/>
      </w:r>
      <w:r>
        <w:t>(GN R98</w:t>
      </w:r>
      <w:r w:rsidR="00130596">
        <w:t>6</w:t>
      </w:r>
      <w:r>
        <w:t xml:space="preserve"> in </w:t>
      </w:r>
      <w:r w:rsidRPr="00FF5569">
        <w:rPr>
          <w:i/>
        </w:rPr>
        <w:t>GG</w:t>
      </w:r>
      <w:r>
        <w:t xml:space="preserve"> 35921 of 30 November 2012) (p11</w:t>
      </w:r>
      <w:r w:rsidR="00130596">
        <w:t>2</w:t>
      </w:r>
      <w:r>
        <w:t>)</w:t>
      </w:r>
    </w:p>
    <w:p w:rsidR="00925BE0" w:rsidRDefault="001E62CA" w:rsidP="00925BE0">
      <w:pPr>
        <w:pStyle w:val="LegText"/>
      </w:pPr>
      <w:r w:rsidRPr="001E62CA">
        <w:t>Amendment of rules (DAR/1</w:t>
      </w:r>
      <w:r>
        <w:t>11</w:t>
      </w:r>
      <w:r w:rsidRPr="001E62CA">
        <w:t xml:space="preserve">) published </w:t>
      </w:r>
      <w:r>
        <w:t>(GN R967</w:t>
      </w:r>
      <w:r w:rsidR="00925BE0">
        <w:t xml:space="preserve"> in </w:t>
      </w:r>
      <w:r w:rsidR="00925BE0" w:rsidRPr="00FF5569">
        <w:rPr>
          <w:i/>
        </w:rPr>
        <w:t>GG</w:t>
      </w:r>
      <w:r w:rsidR="00925BE0">
        <w:t xml:space="preserve"> 35910 of 30 November 2012) (p33)</w:t>
      </w:r>
    </w:p>
    <w:p w:rsidR="0012761A" w:rsidRDefault="0056629F" w:rsidP="00925BE0">
      <w:pPr>
        <w:pStyle w:val="LegText"/>
      </w:pPr>
      <w:r>
        <w:t xml:space="preserve">International Trade Administration Commission of South Africa (ITAC): </w:t>
      </w:r>
      <w:r w:rsidR="0012761A">
        <w:t xml:space="preserve">Proposed guidelines </w:t>
      </w:r>
      <w:r>
        <w:t xml:space="preserve">regarding applications for permits in terms of the provision under rebate item 460.11/00/00.00/01.00 of </w:t>
      </w:r>
      <w:r w:rsidR="0012761A" w:rsidRPr="0012761A">
        <w:t xml:space="preserve">Schedule </w:t>
      </w:r>
      <w:r w:rsidR="0012761A">
        <w:t>4</w:t>
      </w:r>
      <w:r w:rsidR="0012761A" w:rsidRPr="0012761A">
        <w:t xml:space="preserve"> to the Act published for comment </w:t>
      </w:r>
      <w:r w:rsidR="00A366D9">
        <w:br/>
      </w:r>
      <w:r w:rsidR="0012761A">
        <w:t xml:space="preserve">(GenN 981 in </w:t>
      </w:r>
      <w:r w:rsidR="0012761A" w:rsidRPr="00B81C52">
        <w:rPr>
          <w:i/>
        </w:rPr>
        <w:t>GG</w:t>
      </w:r>
      <w:r w:rsidR="0012761A">
        <w:t xml:space="preserve"> 35909 of 30 November 2012) (p40)</w:t>
      </w:r>
    </w:p>
    <w:p w:rsidR="001E62CA" w:rsidRDefault="001E62CA" w:rsidP="0012761A">
      <w:pPr>
        <w:pStyle w:val="LegHeadBold"/>
      </w:pPr>
      <w:r>
        <w:t>AGRICULTURAL PRODUCT STANDARDS ACT 119 OF 1990</w:t>
      </w:r>
    </w:p>
    <w:p w:rsidR="001E62CA" w:rsidRDefault="001E62CA" w:rsidP="001E62CA">
      <w:pPr>
        <w:pStyle w:val="LegText"/>
      </w:pPr>
      <w:r>
        <w:t xml:space="preserve">Regulations relating to the grading, packing and marking of citrus fruit intended for sale in the Republic of South Africa published and previous regulations repealed </w:t>
      </w:r>
      <w:r>
        <w:br/>
        <w:t xml:space="preserve">(GN R963 in </w:t>
      </w:r>
      <w:r w:rsidRPr="00FF5569">
        <w:rPr>
          <w:i/>
        </w:rPr>
        <w:t>GG</w:t>
      </w:r>
      <w:r>
        <w:t xml:space="preserve"> 35910 of 30 November 2012) (p3)</w:t>
      </w:r>
    </w:p>
    <w:p w:rsidR="005F38D4" w:rsidRDefault="005F38D4" w:rsidP="00B81C52">
      <w:pPr>
        <w:pStyle w:val="LegHeadBold"/>
      </w:pPr>
      <w:r w:rsidRPr="005F38D4">
        <w:t>HIGHER EDUCATION ACT 101 OF 1997</w:t>
      </w:r>
    </w:p>
    <w:p w:rsidR="005F38D4" w:rsidRDefault="005F38D4" w:rsidP="005F38D4">
      <w:pPr>
        <w:pStyle w:val="LegText"/>
      </w:pPr>
      <w:r w:rsidRPr="005F38D4">
        <w:t xml:space="preserve">Draft regulations for reporting by public higher education institutions </w:t>
      </w:r>
      <w:r>
        <w:t xml:space="preserve">and </w:t>
      </w:r>
      <w:r w:rsidRPr="005F38D4">
        <w:t>notice of intention to repeal regulations for annual reporting by higher education institutions</w:t>
      </w:r>
      <w:r>
        <w:t xml:space="preserve"> published under GN R691 in </w:t>
      </w:r>
      <w:r w:rsidRPr="00FF5569">
        <w:rPr>
          <w:i/>
        </w:rPr>
        <w:t>GG</w:t>
      </w:r>
      <w:r>
        <w:t xml:space="preserve"> 30132 of 1 August 2007 published for comment </w:t>
      </w:r>
      <w:r>
        <w:br/>
        <w:t xml:space="preserve">(GenN 1002 in </w:t>
      </w:r>
      <w:r w:rsidRPr="00FF5569">
        <w:rPr>
          <w:i/>
        </w:rPr>
        <w:t>GG</w:t>
      </w:r>
      <w:r>
        <w:t xml:space="preserve"> 35923 of 29 November 2012) (p3)</w:t>
      </w:r>
    </w:p>
    <w:p w:rsidR="00B81C52" w:rsidRDefault="00B81C52" w:rsidP="00B81C52">
      <w:pPr>
        <w:pStyle w:val="LegHeadBold"/>
      </w:pPr>
      <w:r>
        <w:t>NATIONAL WATER ACT 36 OF 1998</w:t>
      </w:r>
    </w:p>
    <w:p w:rsidR="00B81C52" w:rsidRDefault="00B81C52" w:rsidP="00B81C52">
      <w:pPr>
        <w:pStyle w:val="LegText"/>
      </w:pPr>
      <w:r>
        <w:t xml:space="preserve">Extension of time period for general authorisation published in GN 399 in </w:t>
      </w:r>
      <w:r w:rsidRPr="00FF5569">
        <w:rPr>
          <w:i/>
        </w:rPr>
        <w:t>GG</w:t>
      </w:r>
      <w:r>
        <w:t xml:space="preserve"> 26187 of 26 March 2004 published in GN 498 in </w:t>
      </w:r>
      <w:r w:rsidRPr="00FF5569">
        <w:rPr>
          <w:i/>
        </w:rPr>
        <w:t>GG</w:t>
      </w:r>
      <w:r>
        <w:t xml:space="preserve"> 35477 of 28 June 2012 withdrawn and superseded </w:t>
      </w:r>
      <w:r>
        <w:br/>
        <w:t>(</w:t>
      </w:r>
      <w:r w:rsidR="0056629F">
        <w:t xml:space="preserve">GN 970 in </w:t>
      </w:r>
      <w:r w:rsidR="0056629F" w:rsidRPr="00B81C52">
        <w:rPr>
          <w:i/>
        </w:rPr>
        <w:t>GG</w:t>
      </w:r>
      <w:r w:rsidR="0056629F">
        <w:t xml:space="preserve"> 35909 of 30 November 2012) (p27)</w:t>
      </w:r>
    </w:p>
    <w:p w:rsidR="00C141D0" w:rsidRDefault="00C141D0" w:rsidP="00C141D0">
      <w:pPr>
        <w:pStyle w:val="LegHeadBold"/>
      </w:pPr>
      <w:r w:rsidRPr="00850E95">
        <w:t>PUBLIC FINANCE MANAGEMENT ACT 1 OF 1999</w:t>
      </w:r>
    </w:p>
    <w:p w:rsidR="00C141D0" w:rsidRDefault="00C141D0" w:rsidP="00C141D0">
      <w:pPr>
        <w:pStyle w:val="LegText"/>
      </w:pPr>
      <w:r w:rsidRPr="00850E95">
        <w:t>Draft Treasury Regulations published for comment</w:t>
      </w:r>
      <w:r>
        <w:t xml:space="preserve"> </w:t>
      </w:r>
      <w:r>
        <w:br/>
        <w:t xml:space="preserve">(GenN 1005 in </w:t>
      </w:r>
      <w:r w:rsidRPr="00FF5569">
        <w:rPr>
          <w:i/>
        </w:rPr>
        <w:t>GG</w:t>
      </w:r>
      <w:r>
        <w:t xml:space="preserve"> 35939 of 30 November 2012) (p3)</w:t>
      </w:r>
    </w:p>
    <w:p w:rsidR="00925BE0" w:rsidRDefault="00925BE0" w:rsidP="00B81C52">
      <w:pPr>
        <w:pStyle w:val="LegHeadBold"/>
      </w:pPr>
      <w:r w:rsidRPr="00925BE0">
        <w:t>BROAD-BASED BLACK ECONOMIC EMPOWERMENT ACT 53 OF 2003</w:t>
      </w:r>
    </w:p>
    <w:p w:rsidR="00925BE0" w:rsidRDefault="00925BE0" w:rsidP="00925BE0">
      <w:pPr>
        <w:pStyle w:val="LegText"/>
      </w:pPr>
      <w:r w:rsidRPr="00925BE0">
        <w:t xml:space="preserve">Financial </w:t>
      </w:r>
      <w:r>
        <w:t xml:space="preserve">Services </w:t>
      </w:r>
      <w:r w:rsidRPr="00925BE0">
        <w:t>Sector Code</w:t>
      </w:r>
      <w:r>
        <w:t xml:space="preserve"> published (GenN 997 in </w:t>
      </w:r>
      <w:r w:rsidRPr="00FF5569">
        <w:rPr>
          <w:i/>
        </w:rPr>
        <w:t>GG</w:t>
      </w:r>
      <w:r>
        <w:t xml:space="preserve"> 35914 of 26 November 2012) (p3)</w:t>
      </w:r>
    </w:p>
    <w:p w:rsidR="002B5143" w:rsidRDefault="002B5143" w:rsidP="002B5143">
      <w:pPr>
        <w:pStyle w:val="LegHeadBold"/>
      </w:pPr>
      <w:r w:rsidRPr="002B5143">
        <w:t>FURTHER EDUCATION AND TRAINING COLLEGES ACT 16 OF 2006</w:t>
      </w:r>
    </w:p>
    <w:p w:rsidR="002B5143" w:rsidRDefault="002B5143" w:rsidP="00925BE0">
      <w:pPr>
        <w:pStyle w:val="LegText"/>
      </w:pPr>
      <w:r w:rsidRPr="002B5143">
        <w:t>Appointment of an administrator for King Sabata Dalindyebo Public Further Education and Training College</w:t>
      </w:r>
      <w:r>
        <w:t xml:space="preserve"> published (GN 974 in </w:t>
      </w:r>
      <w:r w:rsidRPr="00FF5569">
        <w:rPr>
          <w:i/>
        </w:rPr>
        <w:t>GG</w:t>
      </w:r>
      <w:r>
        <w:t xml:space="preserve"> 35917 of 27 November 2012) (p3)</w:t>
      </w:r>
    </w:p>
    <w:p w:rsidR="002B5143" w:rsidRDefault="002B5143" w:rsidP="002B5143">
      <w:pPr>
        <w:pStyle w:val="LegText"/>
      </w:pPr>
      <w:r w:rsidRPr="002B5143">
        <w:t>Appointment of an Administrator for Mthashana Public Further Education and Training College</w:t>
      </w:r>
      <w:r>
        <w:t xml:space="preserve"> published (GN 976 in </w:t>
      </w:r>
      <w:r w:rsidRPr="00FF5569">
        <w:rPr>
          <w:i/>
        </w:rPr>
        <w:t>GG</w:t>
      </w:r>
      <w:r>
        <w:t xml:space="preserve"> 35918 of 27 November 2012) (p3)</w:t>
      </w:r>
    </w:p>
    <w:p w:rsidR="002B5143" w:rsidRDefault="002B5143" w:rsidP="00925BE0">
      <w:pPr>
        <w:pStyle w:val="LegText"/>
      </w:pPr>
      <w:r w:rsidRPr="002B5143">
        <w:t>Appointment of an Administrator for King Hintsa Public Further Education and Training College</w:t>
      </w:r>
      <w:r>
        <w:t xml:space="preserve"> published (GN 975 in </w:t>
      </w:r>
      <w:r w:rsidRPr="00FF5569">
        <w:rPr>
          <w:i/>
        </w:rPr>
        <w:t>GG</w:t>
      </w:r>
      <w:r>
        <w:t xml:space="preserve"> 35919 of 27 November 2012) (p3)</w:t>
      </w:r>
    </w:p>
    <w:p w:rsidR="00482EE6" w:rsidRDefault="00482EE6" w:rsidP="00482EE6">
      <w:pPr>
        <w:pStyle w:val="LegHeadBold"/>
      </w:pPr>
      <w:r>
        <w:t>PROHIBITION OR RESTRICTION OF CERTAIN CONVENTIONAL WEAPONS ACT 18 OF 2008</w:t>
      </w:r>
    </w:p>
    <w:p w:rsidR="00482EE6" w:rsidRDefault="00482EE6" w:rsidP="00482EE6">
      <w:pPr>
        <w:pStyle w:val="LegText"/>
      </w:pPr>
      <w:r w:rsidRPr="00482EE6">
        <w:rPr>
          <w:i/>
        </w:rPr>
        <w:t>Date of commencement</w:t>
      </w:r>
      <w:r>
        <w:t xml:space="preserve">: 1 December 2012 (Proc 68 in </w:t>
      </w:r>
      <w:r w:rsidRPr="00FF5569">
        <w:rPr>
          <w:i/>
        </w:rPr>
        <w:t>GG</w:t>
      </w:r>
      <w:r>
        <w:t xml:space="preserve"> 35928 of 30 November 2012) (p3)</w:t>
      </w:r>
    </w:p>
    <w:p w:rsidR="005F38D4" w:rsidRDefault="005F38D4" w:rsidP="005D3201">
      <w:pPr>
        <w:pStyle w:val="LegHeadBold"/>
        <w:keepNext/>
      </w:pPr>
      <w:r>
        <w:lastRenderedPageBreak/>
        <w:t>NATIONAL ENVIRONMENTAL MANAGEMENT: WASTE ACT 59 OF 2008</w:t>
      </w:r>
    </w:p>
    <w:p w:rsidR="005F38D4" w:rsidRDefault="005F38D4" w:rsidP="005F38D4">
      <w:pPr>
        <w:pStyle w:val="LegText"/>
      </w:pPr>
      <w:r w:rsidRPr="005F38D4">
        <w:t xml:space="preserve">Notice of withdrawal of </w:t>
      </w:r>
      <w:r>
        <w:t xml:space="preserve">notice of approval of integrated Industry Waste Tyre Management Plan from the Recycling and Economic Development Initiative of South Africa published in GN 564 in </w:t>
      </w:r>
      <w:r w:rsidRPr="00FF5569">
        <w:rPr>
          <w:i/>
        </w:rPr>
        <w:t>GG</w:t>
      </w:r>
      <w:r>
        <w:t xml:space="preserve"> 35534 of 23 July 2012 published (</w:t>
      </w:r>
      <w:r w:rsidR="00482EE6">
        <w:t xml:space="preserve">GN 987 in </w:t>
      </w:r>
      <w:r w:rsidR="00482EE6" w:rsidRPr="00FF5569">
        <w:rPr>
          <w:i/>
        </w:rPr>
        <w:t>GG</w:t>
      </w:r>
      <w:r w:rsidR="00482EE6">
        <w:t xml:space="preserve"> 35926 </w:t>
      </w:r>
      <w:r w:rsidR="00482EE6" w:rsidRPr="00482EE6">
        <w:t>of 30 November 2012)</w:t>
      </w:r>
      <w:r w:rsidR="00482EE6">
        <w:rPr>
          <w:i/>
        </w:rPr>
        <w:t xml:space="preserve"> </w:t>
      </w:r>
      <w:r>
        <w:t>(</w:t>
      </w:r>
      <w:r w:rsidR="00482EE6">
        <w:t>p</w:t>
      </w:r>
      <w:r>
        <w:t>3)</w:t>
      </w:r>
    </w:p>
    <w:p w:rsidR="00482EE6" w:rsidRDefault="00482EE6" w:rsidP="00482EE6">
      <w:pPr>
        <w:pStyle w:val="LegText"/>
      </w:pPr>
      <w:r w:rsidRPr="005F38D4">
        <w:t xml:space="preserve">Notice of </w:t>
      </w:r>
      <w:r>
        <w:t xml:space="preserve">approval of an integrated Industry Waste Tyre Management Plan of the Recycling and Economic Development Initiative of South Africa published </w:t>
      </w:r>
      <w:r>
        <w:br/>
        <w:t xml:space="preserve">(GN 988 in </w:t>
      </w:r>
      <w:r w:rsidRPr="00FF5569">
        <w:rPr>
          <w:i/>
        </w:rPr>
        <w:t>GG</w:t>
      </w:r>
      <w:r>
        <w:t xml:space="preserve"> 35927 </w:t>
      </w:r>
      <w:r w:rsidRPr="00482EE6">
        <w:t>of 30 November 2012)</w:t>
      </w:r>
      <w:r>
        <w:rPr>
          <w:i/>
        </w:rPr>
        <w:t xml:space="preserve"> </w:t>
      </w:r>
      <w:r>
        <w:t>(p3)</w:t>
      </w:r>
    </w:p>
    <w:p w:rsidR="00925BE0" w:rsidRDefault="00925BE0" w:rsidP="005F38D4">
      <w:pPr>
        <w:pStyle w:val="LegHeadBold"/>
      </w:pPr>
      <w:r w:rsidRPr="00925BE0">
        <w:t>NATIONAL QUALIFICATIONS FRAMEWORK ACT 67 OF 2008</w:t>
      </w:r>
    </w:p>
    <w:p w:rsidR="00925BE0" w:rsidRDefault="00925BE0" w:rsidP="00925BE0">
      <w:pPr>
        <w:pStyle w:val="LegText"/>
      </w:pPr>
      <w:r w:rsidRPr="00925BE0">
        <w:t>Guidelines on Strategy and Priorities for the National Qualifications Framework, 2012/13</w:t>
      </w:r>
      <w:r>
        <w:t xml:space="preserve"> published (GN 972 in </w:t>
      </w:r>
      <w:r w:rsidRPr="00FF5569">
        <w:rPr>
          <w:i/>
        </w:rPr>
        <w:t>GG</w:t>
      </w:r>
      <w:r>
        <w:t xml:space="preserve"> 35915 of 27 November 2012) (p3)</w:t>
      </w:r>
    </w:p>
    <w:p w:rsidR="00755D72" w:rsidRDefault="00755D72" w:rsidP="00755D72">
      <w:pPr>
        <w:pStyle w:val="LegHeadBold"/>
      </w:pPr>
      <w:r>
        <w:t>CHILD JUSTICE ACT 75 OF 2008</w:t>
      </w:r>
    </w:p>
    <w:p w:rsidR="00755D72" w:rsidRDefault="00755D72" w:rsidP="00755D72">
      <w:pPr>
        <w:pStyle w:val="LegText"/>
      </w:pPr>
      <w:r>
        <w:t xml:space="preserve">Accredited diversion programmes and diversion service providers published </w:t>
      </w:r>
      <w:r>
        <w:br/>
        <w:t xml:space="preserve">(GN 973 in </w:t>
      </w:r>
      <w:r w:rsidRPr="00FF5569">
        <w:rPr>
          <w:i/>
        </w:rPr>
        <w:t>GG</w:t>
      </w:r>
      <w:r>
        <w:t xml:space="preserve"> 35916 of 27 November 2012) (p3)</w:t>
      </w:r>
    </w:p>
    <w:p w:rsidR="00B81C52" w:rsidRDefault="00B81C52" w:rsidP="00755D72">
      <w:pPr>
        <w:pStyle w:val="LegHeadBold"/>
      </w:pPr>
      <w:r>
        <w:t>CORRECTIONAL MATTERS AMENDMENT ACT 5 OF 2011</w:t>
      </w:r>
    </w:p>
    <w:p w:rsidR="00B81C52" w:rsidRDefault="00B81C52" w:rsidP="00B81C52">
      <w:pPr>
        <w:pStyle w:val="LegText"/>
      </w:pPr>
      <w:r>
        <w:rPr>
          <w:i/>
        </w:rPr>
        <w:t>Date of commencement of s. 9 insofar as it relates to s. 49E</w:t>
      </w:r>
      <w:r>
        <w:t xml:space="preserve">: 1 December 2012 </w:t>
      </w:r>
      <w:r>
        <w:br/>
        <w:t xml:space="preserve">(Proc 67 in </w:t>
      </w:r>
      <w:r w:rsidRPr="00B81C52">
        <w:rPr>
          <w:i/>
        </w:rPr>
        <w:t>GG</w:t>
      </w:r>
      <w:r>
        <w:t xml:space="preserve"> 35909 of 30 November 2012) (p7)</w:t>
      </w:r>
    </w:p>
    <w:p w:rsidR="00B81C52" w:rsidRDefault="00B81C52" w:rsidP="00B81C52">
      <w:pPr>
        <w:pStyle w:val="LegText"/>
      </w:pPr>
      <w:r w:rsidRPr="00B81C52">
        <w:rPr>
          <w:i/>
        </w:rPr>
        <w:t>Adds</w:t>
      </w:r>
      <w:r>
        <w:t xml:space="preserve"> s. 49E to the Correctional Services Act 111 of 1998</w:t>
      </w:r>
    </w:p>
    <w:p w:rsidR="00850E95" w:rsidRDefault="00850E95" w:rsidP="00850E95">
      <w:pPr>
        <w:pStyle w:val="LegHeadBold"/>
      </w:pPr>
      <w:r>
        <w:t>IMPLEMENTATION OF THE GENEVA CONVENTION ACT 8 OF 2012</w:t>
      </w:r>
    </w:p>
    <w:p w:rsidR="00850E95" w:rsidRDefault="00850E95" w:rsidP="00850E95">
      <w:pPr>
        <w:pStyle w:val="LegText"/>
      </w:pPr>
      <w:r w:rsidRPr="00482EE6">
        <w:rPr>
          <w:i/>
        </w:rPr>
        <w:t>Date of commencement</w:t>
      </w:r>
      <w:r>
        <w:t xml:space="preserve">: 1 December 2012 (Proc 69 in </w:t>
      </w:r>
      <w:r w:rsidRPr="00FF5569">
        <w:rPr>
          <w:i/>
        </w:rPr>
        <w:t>GG</w:t>
      </w:r>
      <w:r>
        <w:t xml:space="preserve"> 35928 of 30 November 2012) (p5)</w:t>
      </w:r>
    </w:p>
    <w:p w:rsidR="00202F22" w:rsidRPr="00B81C52" w:rsidRDefault="00202F22" w:rsidP="00F46756">
      <w:pPr>
        <w:pStyle w:val="LegHeadCenteredBold"/>
        <w:rPr>
          <w:highlight w:val="cyan"/>
        </w:rPr>
      </w:pPr>
      <w:r w:rsidRPr="00B81C52">
        <w:t>BILL</w:t>
      </w:r>
      <w:r w:rsidR="005D3201">
        <w:t>S</w:t>
      </w:r>
    </w:p>
    <w:p w:rsidR="00C141D0" w:rsidRDefault="0032609D" w:rsidP="00C36935">
      <w:pPr>
        <w:pStyle w:val="LegText"/>
      </w:pPr>
      <w:hyperlink r:id="rId9" w:history="1">
        <w:r w:rsidR="00C141D0" w:rsidRPr="006472A6">
          <w:rPr>
            <w:rStyle w:val="Hyperlink"/>
          </w:rPr>
          <w:t>Fertilizers and Feeds Bill, 2012 [B41-2012]</w:t>
        </w:r>
      </w:hyperlink>
    </w:p>
    <w:p w:rsidR="00C141D0" w:rsidRPr="00C141D0" w:rsidRDefault="0032609D" w:rsidP="00C141D0">
      <w:pPr>
        <w:pStyle w:val="LegText"/>
      </w:pPr>
      <w:hyperlink r:id="rId10" w:history="1">
        <w:r w:rsidR="00C141D0" w:rsidRPr="006472A6">
          <w:rPr>
            <w:rStyle w:val="Hyperlink"/>
          </w:rPr>
          <w:t>Broad-Based Black Economic Empowerment Amendment Bill, 2012 [B42-2012]</w:t>
        </w:r>
      </w:hyperlink>
    </w:p>
    <w:p w:rsidR="00751228" w:rsidRPr="00B81C52" w:rsidRDefault="00B81C52" w:rsidP="00C141D0">
      <w:pPr>
        <w:pStyle w:val="LegText"/>
      </w:pPr>
      <w:r>
        <w:t>Tourism Bill,</w:t>
      </w:r>
      <w:r w:rsidR="00751228" w:rsidRPr="00B81C52">
        <w:t xml:space="preserve"> 2012, notice of intention to introduce published </w:t>
      </w:r>
      <w:r>
        <w:br/>
      </w:r>
      <w:r w:rsidR="00751228" w:rsidRPr="00B81C52">
        <w:t>(GN 97</w:t>
      </w:r>
      <w:r>
        <w:t>1</w:t>
      </w:r>
      <w:r w:rsidR="00751228" w:rsidRPr="00B81C52">
        <w:t xml:space="preserve"> in </w:t>
      </w:r>
      <w:r w:rsidR="00751228" w:rsidRPr="00B81C52">
        <w:rPr>
          <w:i/>
        </w:rPr>
        <w:t>GG</w:t>
      </w:r>
      <w:r w:rsidR="00751228" w:rsidRPr="00B81C52">
        <w:t xml:space="preserve"> 3590</w:t>
      </w:r>
      <w:r>
        <w:t>9</w:t>
      </w:r>
      <w:r w:rsidR="00751228" w:rsidRPr="00B81C52">
        <w:t xml:space="preserve"> of </w:t>
      </w:r>
      <w:r>
        <w:t>30</w:t>
      </w:r>
      <w:r w:rsidR="00751228" w:rsidRPr="00B81C52">
        <w:t xml:space="preserve"> November 2012) (p</w:t>
      </w:r>
      <w:r>
        <w:t>26</w:t>
      </w:r>
      <w:r w:rsidR="00751228" w:rsidRPr="00B81C52">
        <w:t>)</w:t>
      </w:r>
    </w:p>
    <w:p w:rsidR="000B3EE0" w:rsidRPr="007169A1" w:rsidRDefault="000B3EE0" w:rsidP="00F46756">
      <w:pPr>
        <w:pStyle w:val="LegHeadCenteredBold"/>
      </w:pPr>
      <w:r w:rsidRPr="007169A1">
        <w:t>PROVINCIAL LEGISLATION</w:t>
      </w:r>
    </w:p>
    <w:p w:rsidR="00656280" w:rsidRPr="00511172" w:rsidRDefault="00656280" w:rsidP="00C16C9D">
      <w:pPr>
        <w:pStyle w:val="LegHeadBold"/>
      </w:pPr>
      <w:r w:rsidRPr="00511172">
        <w:t>EASTERN CAPE</w:t>
      </w:r>
    </w:p>
    <w:p w:rsidR="00656280" w:rsidRDefault="00656280" w:rsidP="00C16C9D">
      <w:pPr>
        <w:pStyle w:val="LegText"/>
        <w:rPr>
          <w:b/>
        </w:rPr>
      </w:pPr>
      <w:r w:rsidRPr="00511172">
        <w:t xml:space="preserve">Draft </w:t>
      </w:r>
      <w:r>
        <w:t>Eastern Cape General Law</w:t>
      </w:r>
      <w:r w:rsidRPr="00511172">
        <w:t xml:space="preserve"> Amendment Bill, 2012 published for comment </w:t>
      </w:r>
      <w:r w:rsidR="00C16C9D">
        <w:br/>
      </w:r>
      <w:r w:rsidRPr="00511172">
        <w:t>(</w:t>
      </w:r>
      <w:r>
        <w:t>P</w:t>
      </w:r>
      <w:r w:rsidRPr="00511172">
        <w:t xml:space="preserve">N </w:t>
      </w:r>
      <w:r>
        <w:t>59</w:t>
      </w:r>
      <w:r w:rsidRPr="00511172">
        <w:t xml:space="preserve"> in </w:t>
      </w:r>
      <w:r>
        <w:rPr>
          <w:i/>
        </w:rPr>
        <w:t>PG</w:t>
      </w:r>
      <w:r w:rsidRPr="00511172">
        <w:t xml:space="preserve"> </w:t>
      </w:r>
      <w:r>
        <w:t>2866</w:t>
      </w:r>
      <w:r w:rsidRPr="00511172">
        <w:t xml:space="preserve"> of </w:t>
      </w:r>
      <w:r>
        <w:t>30</w:t>
      </w:r>
      <w:r w:rsidRPr="00511172">
        <w:t xml:space="preserve"> November 2012) (p3)</w:t>
      </w:r>
    </w:p>
    <w:p w:rsidR="00131186" w:rsidRDefault="00131186" w:rsidP="00131186">
      <w:pPr>
        <w:pStyle w:val="LegHeadBold"/>
      </w:pPr>
      <w:r>
        <w:t>GAUTENG</w:t>
      </w:r>
    </w:p>
    <w:p w:rsidR="00131186" w:rsidRDefault="00131186" w:rsidP="00131186">
      <w:pPr>
        <w:pStyle w:val="LegText"/>
      </w:pPr>
      <w:r w:rsidRPr="006B5BFB">
        <w:t>National Road Traffic Act 93 of 1996: Notice of registration of vehicle testing station as B-Grade testing station</w:t>
      </w:r>
      <w:r>
        <w:t xml:space="preserve"> and authority to appoint examiner of vehicles </w:t>
      </w:r>
      <w:r w:rsidRPr="006B5BFB">
        <w:t xml:space="preserve">published </w:t>
      </w:r>
      <w:r w:rsidR="00C16C9D">
        <w:br/>
      </w:r>
      <w:r w:rsidRPr="006B5BFB">
        <w:t>(</w:t>
      </w:r>
      <w:r>
        <w:t>Gen</w:t>
      </w:r>
      <w:r w:rsidRPr="006B5BFB">
        <w:t xml:space="preserve">N </w:t>
      </w:r>
      <w:r>
        <w:t>3245</w:t>
      </w:r>
      <w:r w:rsidRPr="006B5BFB">
        <w:t xml:space="preserve"> in </w:t>
      </w:r>
      <w:r w:rsidRPr="006B5BFB">
        <w:rPr>
          <w:i/>
        </w:rPr>
        <w:t>PG</w:t>
      </w:r>
      <w:r w:rsidRPr="006B5BFB">
        <w:t xml:space="preserve"> </w:t>
      </w:r>
      <w:r>
        <w:t>354</w:t>
      </w:r>
      <w:r w:rsidRPr="006B5BFB">
        <w:t xml:space="preserve"> of 2</w:t>
      </w:r>
      <w:r>
        <w:t>8</w:t>
      </w:r>
      <w:r w:rsidRPr="006B5BFB">
        <w:t xml:space="preserve"> </w:t>
      </w:r>
      <w:r>
        <w:t>November</w:t>
      </w:r>
      <w:r w:rsidRPr="006B5BFB">
        <w:t xml:space="preserve"> 2012) (p</w:t>
      </w:r>
      <w:r>
        <w:t>73</w:t>
      </w:r>
      <w:r w:rsidRPr="006B5BFB">
        <w:t>)</w:t>
      </w:r>
    </w:p>
    <w:p w:rsidR="0094594A" w:rsidRDefault="0094594A" w:rsidP="0094594A">
      <w:pPr>
        <w:pStyle w:val="LegHeadBold"/>
      </w:pPr>
      <w:r>
        <w:t>KWAZULU-NATAL</w:t>
      </w:r>
    </w:p>
    <w:p w:rsidR="0094594A" w:rsidRDefault="0094594A" w:rsidP="0094594A">
      <w:pPr>
        <w:pStyle w:val="LegText"/>
      </w:pPr>
      <w:r>
        <w:t xml:space="preserve">KwaZulu-Natal Gaming and Betting Act 8 of 2010: Proposed amendment to Schedule 2 of the Act published for comment (GN 145 in </w:t>
      </w:r>
      <w:r>
        <w:rPr>
          <w:i/>
        </w:rPr>
        <w:t>PG</w:t>
      </w:r>
      <w:r>
        <w:t xml:space="preserve"> 865 of 27 November 2012) (p3)</w:t>
      </w:r>
    </w:p>
    <w:p w:rsidR="00656280" w:rsidRPr="002A597E" w:rsidRDefault="00656280" w:rsidP="00C16C9D">
      <w:pPr>
        <w:pStyle w:val="LegHeadBold"/>
      </w:pPr>
      <w:r w:rsidRPr="002A597E">
        <w:t>WESTERN CAPE</w:t>
      </w:r>
    </w:p>
    <w:p w:rsidR="00656280" w:rsidRPr="00511172" w:rsidRDefault="00656280" w:rsidP="00C16C9D">
      <w:pPr>
        <w:pStyle w:val="LegText"/>
        <w:rPr>
          <w:b/>
        </w:rPr>
      </w:pPr>
      <w:r w:rsidRPr="00511172">
        <w:t>Draft Western Cape Tourism, Trade and Investment Promotion Amendment Bill, 2012, together with Memorandum on the Object of the Bill</w:t>
      </w:r>
      <w:r>
        <w:t xml:space="preserve"> </w:t>
      </w:r>
      <w:r w:rsidRPr="00511172">
        <w:t>published for comment</w:t>
      </w:r>
      <w:r>
        <w:t xml:space="preserve">: isiXhosa version published </w:t>
      </w:r>
      <w:r w:rsidRPr="00511172">
        <w:t>(</w:t>
      </w:r>
      <w:r>
        <w:t>IS</w:t>
      </w:r>
      <w:r w:rsidRPr="00511172">
        <w:t xml:space="preserve"> 33</w:t>
      </w:r>
      <w:r>
        <w:t>9</w:t>
      </w:r>
      <w:r w:rsidRPr="00511172">
        <w:t xml:space="preserve"> in </w:t>
      </w:r>
      <w:r w:rsidRPr="00511172">
        <w:rPr>
          <w:i/>
        </w:rPr>
        <w:t>PG</w:t>
      </w:r>
      <w:r w:rsidRPr="00511172">
        <w:t xml:space="preserve"> 705</w:t>
      </w:r>
      <w:r>
        <w:t>9</w:t>
      </w:r>
      <w:r w:rsidRPr="00511172">
        <w:t xml:space="preserve"> of </w:t>
      </w:r>
      <w:r>
        <w:t>30</w:t>
      </w:r>
      <w:r w:rsidRPr="00511172">
        <w:t xml:space="preserve"> November 2012)</w:t>
      </w:r>
      <w:r>
        <w:t xml:space="preserve"> (p1)</w:t>
      </w:r>
    </w:p>
    <w:p w:rsidR="007169A1" w:rsidRDefault="007169A1" w:rsidP="007169A1">
      <w:pPr>
        <w:pStyle w:val="LegHeadBold"/>
        <w:jc w:val="center"/>
        <w:rPr>
          <w:i/>
        </w:rPr>
      </w:pPr>
      <w:r w:rsidRPr="007169A1">
        <w:rPr>
          <w:i/>
        </w:rPr>
        <w:t xml:space="preserve">This information is also available on the daily legalbrief at </w:t>
      </w:r>
      <w:hyperlink r:id="rId11" w:history="1">
        <w:r w:rsidRPr="007169A1">
          <w:rPr>
            <w:rStyle w:val="Hyperlink"/>
            <w:i/>
          </w:rPr>
          <w:t>www.legalbrief.co.za</w:t>
        </w:r>
      </w:hyperlink>
    </w:p>
    <w:p w:rsidR="00656280" w:rsidRPr="00656280" w:rsidRDefault="00656280" w:rsidP="00656280">
      <w:pPr>
        <w:pStyle w:val="LegHeadBold"/>
        <w:rPr>
          <w:b w:val="0"/>
        </w:rPr>
      </w:pPr>
    </w:p>
    <w:sectPr w:rsidR="00656280" w:rsidRPr="00656280" w:rsidSect="009451BF">
      <w:headerReference w:type="default" r:id="rId12"/>
      <w:footerReference w:type="default" r:id="rId13"/>
      <w:footerReference w:type="first" r:id="rId14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6D9" w:rsidRDefault="00A366D9" w:rsidP="009451BF">
      <w:r>
        <w:separator/>
      </w:r>
    </w:p>
    <w:p w:rsidR="00A366D9" w:rsidRDefault="00A366D9"/>
  </w:endnote>
  <w:endnote w:type="continuationSeparator" w:id="1">
    <w:p w:rsidR="00A366D9" w:rsidRDefault="00A366D9" w:rsidP="009451BF">
      <w:r>
        <w:continuationSeparator/>
      </w:r>
    </w:p>
    <w:p w:rsidR="00A366D9" w:rsidRDefault="00A366D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D9" w:rsidRDefault="00A366D9" w:rsidP="001106E9">
    <w:pPr>
      <w:ind w:left="-187" w:right="72"/>
      <w:jc w:val="center"/>
      <w:rPr>
        <w:sz w:val="16"/>
        <w:lang w:val="en-GB"/>
      </w:rPr>
    </w:pPr>
  </w:p>
  <w:p w:rsidR="00A366D9" w:rsidRDefault="00A366D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366D9" w:rsidRPr="00BC7D59" w:rsidRDefault="00A366D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366D9" w:rsidRPr="00BC7D59" w:rsidRDefault="00A366D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A366D9" w:rsidRPr="00BC7D59" w:rsidRDefault="00A366D9" w:rsidP="0035299D">
    <w:pPr>
      <w:ind w:left="-182" w:right="74"/>
      <w:jc w:val="center"/>
      <w:rPr>
        <w:sz w:val="16"/>
        <w:lang w:val="en-GB"/>
      </w:rPr>
    </w:pPr>
  </w:p>
  <w:p w:rsidR="00A366D9" w:rsidRPr="00BC7D59" w:rsidRDefault="00A366D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A366D9" w:rsidRPr="00BC7D59" w:rsidRDefault="00A366D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D9" w:rsidRDefault="00A366D9" w:rsidP="00505AF8">
    <w:pPr>
      <w:ind w:left="-187" w:right="72"/>
      <w:jc w:val="center"/>
      <w:rPr>
        <w:sz w:val="16"/>
        <w:lang w:val="en-GB"/>
      </w:rPr>
    </w:pPr>
  </w:p>
  <w:p w:rsidR="00A366D9" w:rsidRDefault="00A366D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A366D9" w:rsidRPr="00BC7D59" w:rsidRDefault="00A366D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A366D9" w:rsidRPr="00BC7D59" w:rsidRDefault="00A366D9">
    <w:pPr>
      <w:spacing w:line="19" w:lineRule="exact"/>
      <w:ind w:left="-182" w:right="74"/>
      <w:jc w:val="center"/>
      <w:rPr>
        <w:sz w:val="18"/>
        <w:lang w:val="en-GB"/>
      </w:rPr>
    </w:pPr>
  </w:p>
  <w:p w:rsidR="00A366D9" w:rsidRPr="00BC7D59" w:rsidRDefault="00A366D9">
    <w:pPr>
      <w:ind w:left="-182" w:right="74"/>
      <w:jc w:val="center"/>
      <w:rPr>
        <w:sz w:val="16"/>
        <w:lang w:val="en-GB"/>
      </w:rPr>
    </w:pPr>
  </w:p>
  <w:p w:rsidR="00A366D9" w:rsidRPr="00BC7D59" w:rsidRDefault="00A366D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  <w:r w:rsidRPr="00BC7D59">
      <w:rPr>
        <w:b/>
        <w:sz w:val="16"/>
        <w:lang w:val="en-GB"/>
      </w:rPr>
      <w:t xml:space="preserve"> </w:t>
    </w:r>
  </w:p>
  <w:p w:rsidR="00A366D9" w:rsidRPr="00BC7D59" w:rsidRDefault="00A366D9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6D9" w:rsidRDefault="00A366D9" w:rsidP="009451BF">
      <w:r>
        <w:separator/>
      </w:r>
    </w:p>
    <w:p w:rsidR="00A366D9" w:rsidRDefault="00A366D9"/>
  </w:footnote>
  <w:footnote w:type="continuationSeparator" w:id="1">
    <w:p w:rsidR="00A366D9" w:rsidRDefault="00A366D9" w:rsidP="009451BF">
      <w:r>
        <w:continuationSeparator/>
      </w:r>
    </w:p>
    <w:p w:rsidR="00A366D9" w:rsidRDefault="00A366D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D9" w:rsidRPr="00BC7D59" w:rsidRDefault="00A366D9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A366D9" w:rsidRPr="00BC7D59" w:rsidRDefault="00A366D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32609D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32609D" w:rsidRPr="00BC7D59">
      <w:rPr>
        <w:rStyle w:val="PageNumber"/>
      </w:rPr>
      <w:fldChar w:fldCharType="separate"/>
    </w:r>
    <w:r w:rsidR="00C16C9D">
      <w:rPr>
        <w:rStyle w:val="PageNumber"/>
        <w:noProof/>
      </w:rPr>
      <w:t>3</w:t>
    </w:r>
    <w:r w:rsidR="0032609D" w:rsidRPr="00BC7D59">
      <w:rPr>
        <w:rStyle w:val="PageNumber"/>
      </w:rPr>
      <w:fldChar w:fldCharType="end"/>
    </w:r>
  </w:p>
  <w:p w:rsidR="00A366D9" w:rsidRDefault="00A366D9"/>
  <w:p w:rsidR="00A366D9" w:rsidRDefault="00A366D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2270"/>
    <w:rsid w:val="00023B48"/>
    <w:rsid w:val="00024E74"/>
    <w:rsid w:val="00027602"/>
    <w:rsid w:val="00027A77"/>
    <w:rsid w:val="0003073B"/>
    <w:rsid w:val="00030D2D"/>
    <w:rsid w:val="0003544D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6136"/>
    <w:rsid w:val="00056403"/>
    <w:rsid w:val="00056B78"/>
    <w:rsid w:val="00056FD8"/>
    <w:rsid w:val="00057B5A"/>
    <w:rsid w:val="00057D56"/>
    <w:rsid w:val="000606CD"/>
    <w:rsid w:val="000620FF"/>
    <w:rsid w:val="00064C6B"/>
    <w:rsid w:val="0007017B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321"/>
    <w:rsid w:val="000A384A"/>
    <w:rsid w:val="000A4D9D"/>
    <w:rsid w:val="000B1C1D"/>
    <w:rsid w:val="000B2398"/>
    <w:rsid w:val="000B2F2A"/>
    <w:rsid w:val="000B3EE0"/>
    <w:rsid w:val="000B7242"/>
    <w:rsid w:val="000B7597"/>
    <w:rsid w:val="000C2162"/>
    <w:rsid w:val="000C216A"/>
    <w:rsid w:val="000C32F9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901FD"/>
    <w:rsid w:val="00191F96"/>
    <w:rsid w:val="00191FF1"/>
    <w:rsid w:val="00191FFB"/>
    <w:rsid w:val="00193D98"/>
    <w:rsid w:val="00194421"/>
    <w:rsid w:val="001944B7"/>
    <w:rsid w:val="0019607E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62CA"/>
    <w:rsid w:val="001E7301"/>
    <w:rsid w:val="001E74A1"/>
    <w:rsid w:val="001F0426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4D4B"/>
    <w:rsid w:val="00215B29"/>
    <w:rsid w:val="00215FAF"/>
    <w:rsid w:val="00216608"/>
    <w:rsid w:val="00216B1D"/>
    <w:rsid w:val="00217734"/>
    <w:rsid w:val="00220A1E"/>
    <w:rsid w:val="00222E1B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B98"/>
    <w:rsid w:val="00252D29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5F"/>
    <w:rsid w:val="00285D32"/>
    <w:rsid w:val="002862EB"/>
    <w:rsid w:val="002866D2"/>
    <w:rsid w:val="00287866"/>
    <w:rsid w:val="00287B3E"/>
    <w:rsid w:val="00287BE0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D015C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47C"/>
    <w:rsid w:val="00576D19"/>
    <w:rsid w:val="00577916"/>
    <w:rsid w:val="0058100D"/>
    <w:rsid w:val="00581971"/>
    <w:rsid w:val="00581C21"/>
    <w:rsid w:val="00584439"/>
    <w:rsid w:val="00587BE0"/>
    <w:rsid w:val="00587F76"/>
    <w:rsid w:val="00590412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7F7B"/>
    <w:rsid w:val="00600D00"/>
    <w:rsid w:val="00601D18"/>
    <w:rsid w:val="00602DCF"/>
    <w:rsid w:val="006030F8"/>
    <w:rsid w:val="00603816"/>
    <w:rsid w:val="0060488B"/>
    <w:rsid w:val="00604AB1"/>
    <w:rsid w:val="006051DD"/>
    <w:rsid w:val="006058C0"/>
    <w:rsid w:val="00605ABB"/>
    <w:rsid w:val="006060AE"/>
    <w:rsid w:val="00606315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30E3"/>
    <w:rsid w:val="00623588"/>
    <w:rsid w:val="00623684"/>
    <w:rsid w:val="00623E08"/>
    <w:rsid w:val="00623FAB"/>
    <w:rsid w:val="006241D0"/>
    <w:rsid w:val="00624F7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2E69"/>
    <w:rsid w:val="00674CBF"/>
    <w:rsid w:val="006750F7"/>
    <w:rsid w:val="00680293"/>
    <w:rsid w:val="0068432A"/>
    <w:rsid w:val="00684481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4EFD"/>
    <w:rsid w:val="0073549A"/>
    <w:rsid w:val="00735561"/>
    <w:rsid w:val="00735E25"/>
    <w:rsid w:val="007360C4"/>
    <w:rsid w:val="00736252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F10"/>
    <w:rsid w:val="00791DF8"/>
    <w:rsid w:val="00792267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D56"/>
    <w:rsid w:val="007B3FDD"/>
    <w:rsid w:val="007B409C"/>
    <w:rsid w:val="007B4D34"/>
    <w:rsid w:val="007B5B15"/>
    <w:rsid w:val="007B78C7"/>
    <w:rsid w:val="007B7CAB"/>
    <w:rsid w:val="007C0547"/>
    <w:rsid w:val="007C2E5A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62A8"/>
    <w:rsid w:val="00816E3A"/>
    <w:rsid w:val="008229EF"/>
    <w:rsid w:val="00822F51"/>
    <w:rsid w:val="00823F06"/>
    <w:rsid w:val="00824CD5"/>
    <w:rsid w:val="00825F8E"/>
    <w:rsid w:val="0082675B"/>
    <w:rsid w:val="00831981"/>
    <w:rsid w:val="00833246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F33E9"/>
    <w:rsid w:val="008F505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14CE"/>
    <w:rsid w:val="009226BD"/>
    <w:rsid w:val="00922F3A"/>
    <w:rsid w:val="00923EFE"/>
    <w:rsid w:val="00924809"/>
    <w:rsid w:val="0092491B"/>
    <w:rsid w:val="00925BE0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753"/>
    <w:rsid w:val="009C5E29"/>
    <w:rsid w:val="009C63E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933"/>
    <w:rsid w:val="009E2D35"/>
    <w:rsid w:val="009E370C"/>
    <w:rsid w:val="009E49CD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5241"/>
    <w:rsid w:val="00A92ECF"/>
    <w:rsid w:val="00A93A71"/>
    <w:rsid w:val="00A9441D"/>
    <w:rsid w:val="00A94B34"/>
    <w:rsid w:val="00A94CD0"/>
    <w:rsid w:val="00A94E97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6BA2"/>
    <w:rsid w:val="00C071CE"/>
    <w:rsid w:val="00C10A89"/>
    <w:rsid w:val="00C10C1A"/>
    <w:rsid w:val="00C117AB"/>
    <w:rsid w:val="00C12CB9"/>
    <w:rsid w:val="00C13771"/>
    <w:rsid w:val="00C141D0"/>
    <w:rsid w:val="00C15BB3"/>
    <w:rsid w:val="00C16C9D"/>
    <w:rsid w:val="00C22421"/>
    <w:rsid w:val="00C228AB"/>
    <w:rsid w:val="00C2691C"/>
    <w:rsid w:val="00C27217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7CAA"/>
    <w:rsid w:val="00C727CC"/>
    <w:rsid w:val="00C72D3C"/>
    <w:rsid w:val="00C736B9"/>
    <w:rsid w:val="00C73CE1"/>
    <w:rsid w:val="00C7558D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E58"/>
    <w:rsid w:val="00D31073"/>
    <w:rsid w:val="00D310A3"/>
    <w:rsid w:val="00D32DC1"/>
    <w:rsid w:val="00D33840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5443"/>
    <w:rsid w:val="00D85F55"/>
    <w:rsid w:val="00D85FC7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5576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EC9"/>
    <w:rsid w:val="00E36F83"/>
    <w:rsid w:val="00E378B4"/>
    <w:rsid w:val="00E41C2D"/>
    <w:rsid w:val="00E432B6"/>
    <w:rsid w:val="00E44900"/>
    <w:rsid w:val="00E44E59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647C"/>
    <w:rsid w:val="00F566D7"/>
    <w:rsid w:val="00F6045A"/>
    <w:rsid w:val="00F630CB"/>
    <w:rsid w:val="00F65215"/>
    <w:rsid w:val="00F6730E"/>
    <w:rsid w:val="00F70B0E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533B"/>
    <w:rsid w:val="00FE582C"/>
    <w:rsid w:val="00FE6985"/>
    <w:rsid w:val="00FE7018"/>
    <w:rsid w:val="00FF08D5"/>
    <w:rsid w:val="00FF0B84"/>
    <w:rsid w:val="00FF0F6E"/>
    <w:rsid w:val="00FF12A1"/>
    <w:rsid w:val="00FF22F8"/>
    <w:rsid w:val="00FF5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9D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C16C9D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6C9D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C16C9D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C16C9D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C16C9D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C16C9D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16C9D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C16C9D"/>
    <w:pPr>
      <w:spacing w:before="60"/>
    </w:pPr>
  </w:style>
  <w:style w:type="paragraph" w:customStyle="1" w:styleId="LegHeadBold">
    <w:name w:val="Leg_HeadBold"/>
    <w:basedOn w:val="Normal"/>
    <w:rsid w:val="00C16C9D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C16C9D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C16C9D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C16C9D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C16C9D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C16C9D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C16C9D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C16C9D"/>
    <w:pPr>
      <w:spacing w:before="120"/>
      <w:ind w:firstLine="284"/>
    </w:pPr>
  </w:style>
  <w:style w:type="paragraph" w:customStyle="1" w:styleId="LegPara">
    <w:name w:val="Leg_Para"/>
    <w:basedOn w:val="Normal"/>
    <w:rsid w:val="00C16C9D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C16C9D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C16C9D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C16C9D"/>
    <w:pPr>
      <w:spacing w:before="60"/>
      <w:ind w:firstLine="567"/>
    </w:pPr>
  </w:style>
  <w:style w:type="paragraph" w:customStyle="1" w:styleId="LegAmendActList">
    <w:name w:val="Leg_AmendActList"/>
    <w:basedOn w:val="Normal"/>
    <w:rsid w:val="00C16C9D"/>
    <w:pPr>
      <w:spacing w:before="40"/>
      <w:jc w:val="center"/>
    </w:pPr>
  </w:style>
  <w:style w:type="paragraph" w:customStyle="1" w:styleId="LegTextFLIndent">
    <w:name w:val="Leg_TextFLIndent"/>
    <w:basedOn w:val="Normal"/>
    <w:rsid w:val="00C16C9D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C16C9D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C16C9D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C16C9D"/>
    <w:pPr>
      <w:spacing w:before="60"/>
      <w:ind w:left="284" w:firstLine="284"/>
    </w:pPr>
  </w:style>
  <w:style w:type="paragraph" w:customStyle="1" w:styleId="LegItem">
    <w:name w:val="Leg_Item"/>
    <w:basedOn w:val="Normal"/>
    <w:rsid w:val="00C16C9D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C16C9D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C16C9D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C16C9D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C16C9D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C16C9D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C16C9D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C16C9D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C16C9D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C16C9D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C16C9D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C16C9D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C16C9D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C16C9D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C16C9D"/>
  </w:style>
  <w:style w:type="paragraph" w:customStyle="1" w:styleId="TableCentered">
    <w:name w:val="TableCentered"/>
    <w:basedOn w:val="Normal"/>
    <w:autoRedefine/>
    <w:rsid w:val="00C16C9D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C16C9D"/>
    <w:rPr>
      <w:vanish/>
      <w:color w:val="C0C0C0"/>
      <w:sz w:val="16"/>
    </w:rPr>
  </w:style>
  <w:style w:type="paragraph" w:customStyle="1" w:styleId="TableText">
    <w:name w:val="TableText"/>
    <w:basedOn w:val="Normal"/>
    <w:rsid w:val="00C16C9D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C16C9D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C16C9D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C16C9D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C16C9D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C16C9D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C16C9D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C16C9D"/>
    <w:pPr>
      <w:spacing w:before="240"/>
      <w:jc w:val="center"/>
    </w:pPr>
  </w:style>
  <w:style w:type="paragraph" w:customStyle="1" w:styleId="LegAOSHead">
    <w:name w:val="Leg_AOSHead"/>
    <w:basedOn w:val="Normal"/>
    <w:rsid w:val="00C16C9D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C16C9D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C16C9D"/>
    <w:pPr>
      <w:spacing w:before="120"/>
      <w:jc w:val="center"/>
    </w:pPr>
  </w:style>
  <w:style w:type="paragraph" w:customStyle="1" w:styleId="LegAOSSection">
    <w:name w:val="Leg_AOSSection"/>
    <w:basedOn w:val="Normal"/>
    <w:rsid w:val="00C16C9D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C16C9D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C16C9D"/>
    <w:pPr>
      <w:jc w:val="center"/>
    </w:pPr>
  </w:style>
  <w:style w:type="paragraph" w:customStyle="1" w:styleId="TableBullet">
    <w:name w:val="TableBullet"/>
    <w:basedOn w:val="Normal"/>
    <w:autoRedefine/>
    <w:rsid w:val="00C16C9D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C16C9D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C16C9D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C16C9D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C16C9D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C16C9D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C16C9D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C16C9D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C16C9D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C16C9D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C16C9D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C16C9D"/>
    <w:pPr>
      <w:ind w:left="1418"/>
    </w:pPr>
  </w:style>
  <w:style w:type="paragraph" w:customStyle="1" w:styleId="LegProvisoSubParaHang">
    <w:name w:val="Leg_ProvisoSubParaHang"/>
    <w:basedOn w:val="Normal"/>
    <w:rsid w:val="00C16C9D"/>
    <w:pPr>
      <w:ind w:left="1985"/>
    </w:pPr>
  </w:style>
  <w:style w:type="paragraph" w:customStyle="1" w:styleId="LegProvisoParaSubPara">
    <w:name w:val="Leg_ProvisoParaSubPara"/>
    <w:basedOn w:val="Normal"/>
    <w:rsid w:val="00C16C9D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C16C9D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C16C9D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C16C9D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C16C9D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C16C9D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C16C9D"/>
    <w:pPr>
      <w:ind w:left="2552"/>
    </w:pPr>
  </w:style>
  <w:style w:type="paragraph" w:customStyle="1" w:styleId="TableParaHang">
    <w:name w:val="TableParaHang"/>
    <w:basedOn w:val="Normal"/>
    <w:autoRedefine/>
    <w:rsid w:val="00C16C9D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C16C9D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C16C9D"/>
  </w:style>
  <w:style w:type="paragraph" w:customStyle="1" w:styleId="TableRightAlign">
    <w:name w:val="TableRightAlign"/>
    <w:basedOn w:val="Normal"/>
    <w:autoRedefine/>
    <w:rsid w:val="00C16C9D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C16C9D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C16C9D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C16C9D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C16C9D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C16C9D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C16C9D"/>
    <w:pPr>
      <w:spacing w:before="60"/>
    </w:pPr>
  </w:style>
  <w:style w:type="paragraph" w:customStyle="1" w:styleId="LegSubParaFLIndent">
    <w:name w:val="Leg_SubParaFLIndent"/>
    <w:basedOn w:val="Normal"/>
    <w:autoRedefine/>
    <w:rsid w:val="00C16C9D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C16C9D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C16C9D"/>
    <w:pPr>
      <w:spacing w:before="60"/>
      <w:ind w:left="567"/>
    </w:pPr>
  </w:style>
  <w:style w:type="paragraph" w:customStyle="1" w:styleId="LegItemSubItem">
    <w:name w:val="Leg_ItemSubItem"/>
    <w:basedOn w:val="Normal"/>
    <w:rsid w:val="00C16C9D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C16C9D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C16C9D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C16C9D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C16C9D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C16C9D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C16C9D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C16C9D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C16C9D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C16C9D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C16C9D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C16C9D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C16C9D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C16C9D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C16C9D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C16C9D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C16C9D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C16C9D"/>
    <w:pPr>
      <w:spacing w:before="60"/>
      <w:jc w:val="center"/>
    </w:pPr>
  </w:style>
  <w:style w:type="paragraph" w:customStyle="1" w:styleId="LegAOSAnnexure">
    <w:name w:val="Leg_AOSAnnexure"/>
    <w:basedOn w:val="Normal"/>
    <w:rsid w:val="00C16C9D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C16C9D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C16C9D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C16C9D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C16C9D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C16C9D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C16C9D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C16C9D"/>
    <w:pPr>
      <w:spacing w:before="60"/>
      <w:ind w:left="1134"/>
    </w:pPr>
  </w:style>
  <w:style w:type="paragraph" w:customStyle="1" w:styleId="LegAmendAfterPara">
    <w:name w:val="Leg_AmendAfterPara"/>
    <w:basedOn w:val="Normal"/>
    <w:rsid w:val="00C16C9D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C16C9D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C16C9D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C16C9D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C16C9D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C16C9D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C16C9D"/>
    <w:pPr>
      <w:ind w:left="1701"/>
    </w:pPr>
  </w:style>
  <w:style w:type="character" w:customStyle="1" w:styleId="LegFNoteRef">
    <w:name w:val="Leg_FNoteRef"/>
    <w:basedOn w:val="DefaultParagraphFont"/>
    <w:rsid w:val="00C16C9D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C16C9D"/>
    <w:pPr>
      <w:jc w:val="right"/>
    </w:pPr>
  </w:style>
  <w:style w:type="character" w:customStyle="1" w:styleId="FNoteRef">
    <w:name w:val="FNoteRef"/>
    <w:basedOn w:val="DefaultParagraphFont"/>
    <w:rsid w:val="00C16C9D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C16C9D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C16C9D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C16C9D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C16C9D"/>
    <w:pPr>
      <w:jc w:val="center"/>
    </w:pPr>
  </w:style>
  <w:style w:type="paragraph" w:customStyle="1" w:styleId="LegSubPara2Hang">
    <w:name w:val="Leg_SubPara2Hang"/>
    <w:basedOn w:val="Normal"/>
    <w:rsid w:val="00C16C9D"/>
    <w:pPr>
      <w:ind w:left="1134"/>
    </w:pPr>
  </w:style>
  <w:style w:type="paragraph" w:customStyle="1" w:styleId="LegPara1111Hang">
    <w:name w:val="Leg_Para1.1.1.1Hang"/>
    <w:basedOn w:val="Normal"/>
    <w:rsid w:val="00C16C9D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C16C9D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C16C9D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C16C9D"/>
    <w:pPr>
      <w:ind w:left="2268"/>
    </w:pPr>
  </w:style>
  <w:style w:type="paragraph" w:customStyle="1" w:styleId="LegFNoteQuote">
    <w:name w:val="Leg_FNoteQuote"/>
    <w:basedOn w:val="Normal"/>
    <w:autoRedefine/>
    <w:rsid w:val="00C16C9D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C16C9D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C16C9D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C16C9D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C16C9D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C16C9D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C16C9D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C16C9D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C16C9D"/>
    <w:pPr>
      <w:spacing w:before="60"/>
      <w:ind w:left="1985"/>
    </w:pPr>
  </w:style>
  <w:style w:type="paragraph" w:customStyle="1" w:styleId="LegHeadBoldItalic">
    <w:name w:val="Leg_HeadBoldItalic"/>
    <w:basedOn w:val="Normal"/>
    <w:rsid w:val="00C16C9D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C16C9D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C16C9D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C16C9D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C16C9D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C16C9D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C16C9D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C16C9D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C16C9D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C16C9D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C16C9D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C16C9D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C16C9D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C16C9D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C16C9D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C16C9D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C16C9D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C16C9D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C16C9D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C16C9D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C16C9D"/>
    <w:pPr>
      <w:spacing w:before="120"/>
    </w:pPr>
  </w:style>
  <w:style w:type="paragraph" w:customStyle="1" w:styleId="LegAOSCenteredBold">
    <w:name w:val="Leg_AOSCenteredBold"/>
    <w:basedOn w:val="Normal"/>
    <w:rsid w:val="00C16C9D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C16C9D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C16C9D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C16C9D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C16C9D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C16C9D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C16C9D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C16C9D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C16C9D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C16C9D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C16C9D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C16C9D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C16C9D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C16C9D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C16C9D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C16C9D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C16C9D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C16C9D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C16C9D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C16C9D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C16C9D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C16C9D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C16C9D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C16C9D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C16C9D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C16C9D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C16C9D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C16C9D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C16C9D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C16C9D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C16C9D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C16C9D"/>
    <w:pPr>
      <w:ind w:firstLine="1418"/>
    </w:pPr>
  </w:style>
  <w:style w:type="paragraph" w:customStyle="1" w:styleId="LegLongTitle">
    <w:name w:val="Leg_LongTitle"/>
    <w:basedOn w:val="Normal"/>
    <w:autoRedefine/>
    <w:rsid w:val="00C16C9D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C16C9D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C16C9D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C16C9D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C16C9D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C16C9D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C16C9D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C16C9D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C16C9D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C16C9D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C16C9D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C16C9D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C16C9D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C16C9D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C16C9D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C16C9D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C16C9D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C16C9D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C16C9D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C16C9D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C16C9D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C16C9D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C16C9D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C16C9D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C16C9D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C16C9D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C16C9D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C16C9D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C16C9D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C16C9D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C16C9D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C16C9D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C16C9D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C16C9D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C16C9D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C16C9D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C16C9D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C16C9D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C16C9D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C16C9D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C16C9D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C16C9D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C16C9D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C16C9D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C16C9D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C16C9D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C16C9D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C16C9D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C16C9D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C16C9D"/>
    <w:pPr>
      <w:spacing w:before="60"/>
      <w:ind w:left="1418"/>
    </w:pPr>
  </w:style>
  <w:style w:type="paragraph" w:customStyle="1" w:styleId="GGRefNo">
    <w:name w:val="GG_RefNo"/>
    <w:basedOn w:val="Normal"/>
    <w:rsid w:val="00C16C9D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C16C9D"/>
    <w:rPr>
      <w:rFonts w:cs="Verdana"/>
    </w:rPr>
  </w:style>
  <w:style w:type="paragraph" w:customStyle="1" w:styleId="GGGenN">
    <w:name w:val="GG_GenN"/>
    <w:basedOn w:val="TableText"/>
    <w:rsid w:val="00C16C9D"/>
    <w:rPr>
      <w:rFonts w:cs="Verdana"/>
    </w:rPr>
  </w:style>
  <w:style w:type="paragraph" w:customStyle="1" w:styleId="GGGG">
    <w:name w:val="GG_GG"/>
    <w:basedOn w:val="TableText"/>
    <w:rsid w:val="00C16C9D"/>
    <w:rPr>
      <w:rFonts w:cs="Verdana"/>
    </w:rPr>
  </w:style>
  <w:style w:type="paragraph" w:customStyle="1" w:styleId="GGGN">
    <w:name w:val="GG_GN"/>
    <w:basedOn w:val="TableText"/>
    <w:rsid w:val="00C16C9D"/>
    <w:rPr>
      <w:rFonts w:cs="Verdana"/>
    </w:rPr>
  </w:style>
  <w:style w:type="paragraph" w:customStyle="1" w:styleId="GGProc">
    <w:name w:val="GG_Proc"/>
    <w:basedOn w:val="TableText"/>
    <w:rsid w:val="00C16C9D"/>
    <w:rPr>
      <w:rFonts w:cs="Verdana"/>
    </w:rPr>
  </w:style>
  <w:style w:type="paragraph" w:customStyle="1" w:styleId="GGRG">
    <w:name w:val="GG_RG"/>
    <w:basedOn w:val="TableText"/>
    <w:rsid w:val="00C16C9D"/>
    <w:rPr>
      <w:rFonts w:cs="Verdana"/>
    </w:rPr>
  </w:style>
  <w:style w:type="paragraph" w:customStyle="1" w:styleId="Division">
    <w:name w:val="Division"/>
    <w:basedOn w:val="Normal"/>
    <w:autoRedefine/>
    <w:rsid w:val="00C16C9D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C16C9D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C16C9D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albrief.co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utalaw.co.za/media/filestore/2012/12/b_42_-_2012_-_Broad-Based_Black_Economic_Empowerment_A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talaw.co.za/media/filestore/2012/12/b_41_-_2012_-_Fertilizers_and_Feeds_Bill.pdf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4C60-BA33-444B-AC47-C744E7E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909</TotalTime>
  <Pages>3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84</cp:revision>
  <cp:lastPrinted>2012-11-19T12:17:00Z</cp:lastPrinted>
  <dcterms:created xsi:type="dcterms:W3CDTF">2012-11-12T06:12:00Z</dcterms:created>
  <dcterms:modified xsi:type="dcterms:W3CDTF">2012-12-03T13:07:00Z</dcterms:modified>
</cp:coreProperties>
</file>