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10" w:rsidRDefault="00531079">
      <w:pPr>
        <w:pStyle w:val="Level-NormalBlue"/>
        <w:widowControl/>
        <w:rPr>
          <w:rFonts w:cs="Verdana"/>
          <w:color w:val="auto"/>
        </w:rPr>
      </w:pPr>
      <w:r w:rsidRPr="00E62499">
        <w:rPr>
          <w:rStyle w:val="Hidden-Grey-8"/>
          <w:b w:val="0"/>
          <w:bCs w:val="0"/>
          <w:color w:val="auto"/>
        </w:rPr>
        <w:t>[zRPz]</w:t>
      </w:r>
      <w:bookmarkStart w:id="0" w:name="20114394"/>
      <w:bookmarkEnd w:id="0"/>
      <w:r w:rsidRPr="00E62499">
        <w:rPr>
          <w:rFonts w:cs="Verdana"/>
          <w:color w:val="auto"/>
        </w:rPr>
        <w:t>OILWELL (PTY) LTD v PROTEC INTERNATIONAL LTD AND OTHERS 2011 (4) SA 394 (SCA)</w:t>
      </w:r>
    </w:p>
    <w:p w:rsidR="00657C10" w:rsidRDefault="00657C10">
      <w:pPr>
        <w:pStyle w:val="Level-NormalBlue"/>
        <w:widowControl/>
        <w:rPr>
          <w:rFonts w:cs="Verdana"/>
          <w:color w:val="auto"/>
        </w:rPr>
      </w:pPr>
    </w:p>
    <w:p w:rsidR="00657C10" w:rsidRPr="00E62499" w:rsidRDefault="00657C10" w:rsidP="00657C10">
      <w:pPr>
        <w:pStyle w:val="QT-Field"/>
        <w:widowControl/>
        <w:tabs>
          <w:tab w:val="clear" w:pos="283"/>
          <w:tab w:val="left" w:pos="2835"/>
        </w:tabs>
        <w:rPr>
          <w:rFonts w:cs="Verdana"/>
          <w:color w:val="auto"/>
        </w:rPr>
      </w:pPr>
      <w:r w:rsidRPr="00E62499">
        <w:rPr>
          <w:rStyle w:val="FieldNormalBlue"/>
          <w:color w:val="auto"/>
        </w:rPr>
        <w:t>Citation</w:t>
      </w:r>
      <w:r>
        <w:rPr>
          <w:rStyle w:val="Citation"/>
          <w:color w:val="auto"/>
        </w:rPr>
        <w:tab/>
      </w:r>
      <w:r w:rsidRPr="00E62499">
        <w:rPr>
          <w:rStyle w:val="Citation"/>
          <w:color w:val="auto"/>
        </w:rPr>
        <w:t>2011 (4) SA 394 (SCA)</w:t>
      </w:r>
    </w:p>
    <w:p w:rsidR="00657C10" w:rsidRPr="00E62499" w:rsidRDefault="00657C10" w:rsidP="00657C10">
      <w:pPr>
        <w:pStyle w:val="QT-Field"/>
        <w:widowControl/>
        <w:tabs>
          <w:tab w:val="clear" w:pos="283"/>
          <w:tab w:val="left" w:pos="2835"/>
        </w:tabs>
        <w:rPr>
          <w:rFonts w:cs="Verdana"/>
          <w:color w:val="auto"/>
        </w:rPr>
      </w:pPr>
      <w:r w:rsidRPr="00E62499">
        <w:rPr>
          <w:rStyle w:val="FieldNormalBlue"/>
          <w:color w:val="auto"/>
        </w:rPr>
        <w:t>Case No</w:t>
      </w:r>
    </w:p>
    <w:p w:rsidR="00657C10" w:rsidRPr="00E62499" w:rsidRDefault="00657C10" w:rsidP="00657C10">
      <w:pPr>
        <w:pStyle w:val="QT-Field"/>
        <w:widowControl/>
        <w:tabs>
          <w:tab w:val="clear" w:pos="283"/>
          <w:tab w:val="left" w:pos="2835"/>
        </w:tabs>
        <w:rPr>
          <w:rFonts w:cs="Verdana"/>
          <w:color w:val="auto"/>
        </w:rPr>
      </w:pPr>
      <w:r>
        <w:rPr>
          <w:rStyle w:val="CaseNo0"/>
          <w:color w:val="auto"/>
        </w:rPr>
        <w:tab/>
      </w:r>
      <w:r w:rsidRPr="00E62499">
        <w:rPr>
          <w:rStyle w:val="CaseNo0"/>
          <w:color w:val="auto"/>
        </w:rPr>
        <w:t>295/10</w:t>
      </w:r>
    </w:p>
    <w:p w:rsidR="00657C10" w:rsidRPr="00E62499" w:rsidRDefault="00657C10" w:rsidP="00657C10">
      <w:pPr>
        <w:pStyle w:val="QT-Field"/>
        <w:widowControl/>
        <w:tabs>
          <w:tab w:val="clear" w:pos="283"/>
          <w:tab w:val="left" w:pos="2835"/>
        </w:tabs>
        <w:rPr>
          <w:rFonts w:cs="Verdana"/>
          <w:color w:val="auto"/>
        </w:rPr>
      </w:pPr>
      <w:r w:rsidRPr="00E62499">
        <w:rPr>
          <w:rStyle w:val="FieldNormalBlue"/>
          <w:color w:val="auto"/>
        </w:rPr>
        <w:t>Court</w:t>
      </w:r>
    </w:p>
    <w:p w:rsidR="00657C10" w:rsidRPr="00E62499" w:rsidRDefault="00657C10" w:rsidP="00657C10">
      <w:pPr>
        <w:pStyle w:val="QT-Field"/>
        <w:widowControl/>
        <w:tabs>
          <w:tab w:val="clear" w:pos="283"/>
          <w:tab w:val="left" w:pos="2835"/>
        </w:tabs>
        <w:rPr>
          <w:rFonts w:cs="Verdana"/>
          <w:color w:val="auto"/>
        </w:rPr>
      </w:pPr>
      <w:r>
        <w:rPr>
          <w:rStyle w:val="Court"/>
          <w:color w:val="auto"/>
        </w:rPr>
        <w:tab/>
      </w:r>
      <w:r w:rsidRPr="00E62499">
        <w:rPr>
          <w:rStyle w:val="Court"/>
          <w:color w:val="auto"/>
        </w:rPr>
        <w:t xml:space="preserve">Supreme Court </w:t>
      </w:r>
      <w:proofErr w:type="gramStart"/>
      <w:r w:rsidRPr="00E62499">
        <w:rPr>
          <w:rStyle w:val="Court"/>
          <w:color w:val="auto"/>
        </w:rPr>
        <w:t>Of</w:t>
      </w:r>
      <w:proofErr w:type="gramEnd"/>
      <w:r w:rsidRPr="00E62499">
        <w:rPr>
          <w:rStyle w:val="Court"/>
          <w:color w:val="auto"/>
        </w:rPr>
        <w:t xml:space="preserve"> Appeal</w:t>
      </w:r>
    </w:p>
    <w:p w:rsidR="00657C10" w:rsidRPr="00E62499" w:rsidRDefault="00657C10" w:rsidP="00657C10">
      <w:pPr>
        <w:pStyle w:val="QT-Field"/>
        <w:widowControl/>
        <w:tabs>
          <w:tab w:val="clear" w:pos="283"/>
          <w:tab w:val="left" w:pos="2835"/>
        </w:tabs>
        <w:rPr>
          <w:rFonts w:cs="Verdana"/>
          <w:color w:val="auto"/>
        </w:rPr>
      </w:pPr>
      <w:r w:rsidRPr="00E62499">
        <w:rPr>
          <w:rStyle w:val="FieldNormalBlue"/>
          <w:color w:val="auto"/>
        </w:rPr>
        <w:t>Judge</w:t>
      </w:r>
    </w:p>
    <w:p w:rsidR="00657C10" w:rsidRPr="00E62499" w:rsidRDefault="00657C10" w:rsidP="00657C10">
      <w:pPr>
        <w:pStyle w:val="QT-Field"/>
        <w:widowControl/>
        <w:tabs>
          <w:tab w:val="clear" w:pos="283"/>
          <w:tab w:val="left" w:pos="2835"/>
        </w:tabs>
        <w:rPr>
          <w:rFonts w:cs="Verdana"/>
          <w:color w:val="auto"/>
        </w:rPr>
      </w:pPr>
      <w:r>
        <w:rPr>
          <w:rStyle w:val="Judge"/>
          <w:color w:val="auto"/>
        </w:rPr>
        <w:tab/>
      </w:r>
      <w:r w:rsidRPr="00E62499">
        <w:rPr>
          <w:rStyle w:val="Judge"/>
          <w:color w:val="auto"/>
        </w:rPr>
        <w:t>Harms DP</w:t>
      </w:r>
      <w:r w:rsidRPr="00E62499">
        <w:rPr>
          <w:rFonts w:cs="Verdana"/>
          <w:color w:val="auto"/>
        </w:rPr>
        <w:t xml:space="preserve">, </w:t>
      </w:r>
      <w:r w:rsidRPr="00E62499">
        <w:rPr>
          <w:rStyle w:val="Judge"/>
          <w:color w:val="auto"/>
        </w:rPr>
        <w:t>Lewis JA</w:t>
      </w:r>
      <w:r w:rsidRPr="00E62499">
        <w:rPr>
          <w:rFonts w:cs="Verdana"/>
          <w:color w:val="auto"/>
        </w:rPr>
        <w:t xml:space="preserve">, </w:t>
      </w:r>
      <w:proofErr w:type="spellStart"/>
      <w:r w:rsidRPr="00E62499">
        <w:rPr>
          <w:rStyle w:val="Judge"/>
          <w:color w:val="auto"/>
        </w:rPr>
        <w:t>Ponnan</w:t>
      </w:r>
      <w:proofErr w:type="spellEnd"/>
      <w:r w:rsidRPr="00E62499">
        <w:rPr>
          <w:rStyle w:val="Judge"/>
          <w:color w:val="auto"/>
        </w:rPr>
        <w:t xml:space="preserve"> JA</w:t>
      </w:r>
      <w:r w:rsidRPr="00E62499">
        <w:rPr>
          <w:rFonts w:cs="Verdana"/>
          <w:color w:val="auto"/>
        </w:rPr>
        <w:t xml:space="preserve">, </w:t>
      </w:r>
      <w:r w:rsidRPr="00E62499">
        <w:rPr>
          <w:rStyle w:val="Judge"/>
          <w:color w:val="auto"/>
        </w:rPr>
        <w:t>Malan JA</w:t>
      </w:r>
      <w:r w:rsidRPr="00E62499">
        <w:rPr>
          <w:rFonts w:cs="Verdana"/>
          <w:color w:val="auto"/>
        </w:rPr>
        <w:t xml:space="preserve"> and </w:t>
      </w:r>
      <w:proofErr w:type="spellStart"/>
      <w:r w:rsidRPr="00E62499">
        <w:rPr>
          <w:rStyle w:val="Judge"/>
          <w:color w:val="auto"/>
        </w:rPr>
        <w:t>Theron</w:t>
      </w:r>
      <w:proofErr w:type="spellEnd"/>
      <w:r w:rsidRPr="00E62499">
        <w:rPr>
          <w:rStyle w:val="Judge"/>
          <w:color w:val="auto"/>
        </w:rPr>
        <w:t xml:space="preserve"> JA</w:t>
      </w:r>
    </w:p>
    <w:p w:rsidR="00657C10" w:rsidRPr="00E62499" w:rsidRDefault="00657C10" w:rsidP="00657C10">
      <w:pPr>
        <w:pStyle w:val="QT-Field"/>
        <w:widowControl/>
        <w:tabs>
          <w:tab w:val="clear" w:pos="283"/>
          <w:tab w:val="left" w:pos="2835"/>
        </w:tabs>
        <w:rPr>
          <w:rFonts w:cs="Verdana"/>
          <w:color w:val="auto"/>
        </w:rPr>
      </w:pPr>
      <w:r w:rsidRPr="00E62499">
        <w:rPr>
          <w:rStyle w:val="FieldNormalBlue"/>
          <w:color w:val="auto"/>
        </w:rPr>
        <w:t>Heard</w:t>
      </w:r>
    </w:p>
    <w:p w:rsidR="00657C10" w:rsidRPr="00E62499" w:rsidRDefault="00657C10" w:rsidP="00657C10">
      <w:pPr>
        <w:pStyle w:val="QT-Field"/>
        <w:widowControl/>
        <w:tabs>
          <w:tab w:val="clear" w:pos="283"/>
          <w:tab w:val="left" w:pos="2835"/>
        </w:tabs>
        <w:rPr>
          <w:rFonts w:cs="Verdana"/>
          <w:color w:val="auto"/>
        </w:rPr>
      </w:pPr>
      <w:r>
        <w:rPr>
          <w:rStyle w:val="Hearddate"/>
          <w:color w:val="auto"/>
        </w:rPr>
        <w:tab/>
      </w:r>
      <w:r w:rsidRPr="00E62499">
        <w:rPr>
          <w:rStyle w:val="Hearddate"/>
          <w:color w:val="auto"/>
        </w:rPr>
        <w:t>March 8, 2011</w:t>
      </w:r>
    </w:p>
    <w:p w:rsidR="00657C10" w:rsidRPr="00E62499" w:rsidRDefault="00657C10" w:rsidP="00657C10">
      <w:pPr>
        <w:pStyle w:val="QT-Field"/>
        <w:widowControl/>
        <w:tabs>
          <w:tab w:val="clear" w:pos="283"/>
          <w:tab w:val="left" w:pos="2835"/>
        </w:tabs>
        <w:rPr>
          <w:rFonts w:cs="Verdana"/>
          <w:color w:val="auto"/>
        </w:rPr>
      </w:pPr>
      <w:r w:rsidRPr="00E62499">
        <w:rPr>
          <w:rStyle w:val="FieldNormalBlue"/>
          <w:color w:val="auto"/>
        </w:rPr>
        <w:t>Judgment</w:t>
      </w:r>
    </w:p>
    <w:p w:rsidR="00657C10" w:rsidRPr="00E62499" w:rsidRDefault="00657C10" w:rsidP="00657C10">
      <w:pPr>
        <w:pStyle w:val="QT-Field"/>
        <w:widowControl/>
        <w:tabs>
          <w:tab w:val="clear" w:pos="283"/>
          <w:tab w:val="left" w:pos="2835"/>
        </w:tabs>
        <w:rPr>
          <w:rFonts w:cs="Verdana"/>
          <w:color w:val="auto"/>
        </w:rPr>
      </w:pPr>
      <w:r>
        <w:rPr>
          <w:rStyle w:val="JudgmentDate"/>
          <w:color w:val="auto"/>
        </w:rPr>
        <w:tab/>
      </w:r>
      <w:r w:rsidRPr="00E62499">
        <w:rPr>
          <w:rStyle w:val="JudgmentDate"/>
          <w:color w:val="auto"/>
        </w:rPr>
        <w:t>March 18, 2011</w:t>
      </w:r>
    </w:p>
    <w:p w:rsidR="00657C10" w:rsidRDefault="00657C10" w:rsidP="00657C10">
      <w:pPr>
        <w:pStyle w:val="QT-Field"/>
        <w:widowControl/>
        <w:tabs>
          <w:tab w:val="clear" w:pos="283"/>
          <w:tab w:val="left" w:pos="2835"/>
        </w:tabs>
        <w:rPr>
          <w:rStyle w:val="Counsel"/>
          <w:color w:val="auto"/>
        </w:rPr>
      </w:pPr>
      <w:proofErr w:type="gramStart"/>
      <w:r w:rsidRPr="00E62499">
        <w:rPr>
          <w:rStyle w:val="FieldNormalBlue"/>
          <w:color w:val="auto"/>
        </w:rPr>
        <w:t>Counsel</w:t>
      </w:r>
      <w:r>
        <w:rPr>
          <w:rStyle w:val="FieldNormalBlue"/>
          <w:color w:val="auto"/>
        </w:rPr>
        <w:tab/>
      </w:r>
      <w:r w:rsidRPr="00E62499">
        <w:rPr>
          <w:rStyle w:val="Counsel"/>
          <w:i/>
          <w:iCs/>
          <w:color w:val="auto"/>
        </w:rPr>
        <w:t>EW Dunn SC</w:t>
      </w:r>
      <w:r w:rsidRPr="00E62499">
        <w:rPr>
          <w:rStyle w:val="Counsel"/>
          <w:color w:val="auto"/>
        </w:rPr>
        <w:t xml:space="preserve"> (with </w:t>
      </w:r>
      <w:r w:rsidRPr="00E62499">
        <w:rPr>
          <w:rStyle w:val="Counsel"/>
          <w:i/>
          <w:iCs/>
          <w:color w:val="auto"/>
        </w:rPr>
        <w:t>I Joubert</w:t>
      </w:r>
      <w:r w:rsidRPr="00E62499">
        <w:rPr>
          <w:rStyle w:val="Counsel"/>
          <w:color w:val="auto"/>
        </w:rPr>
        <w:t>) for the appellant.</w:t>
      </w:r>
      <w:proofErr w:type="gramEnd"/>
    </w:p>
    <w:p w:rsidR="00657C10" w:rsidRPr="00E62499" w:rsidRDefault="00657C10" w:rsidP="00657C10">
      <w:pPr>
        <w:pStyle w:val="QT-Field"/>
        <w:widowControl/>
        <w:tabs>
          <w:tab w:val="clear" w:pos="283"/>
        </w:tabs>
        <w:ind w:left="2835"/>
        <w:rPr>
          <w:rFonts w:cs="Verdana"/>
          <w:color w:val="auto"/>
        </w:rPr>
      </w:pPr>
      <w:proofErr w:type="gramStart"/>
      <w:r w:rsidRPr="00E62499">
        <w:rPr>
          <w:rStyle w:val="Counsel"/>
          <w:i/>
          <w:iCs/>
          <w:color w:val="auto"/>
        </w:rPr>
        <w:t>P Ellis SC</w:t>
      </w:r>
      <w:r w:rsidRPr="00E62499">
        <w:rPr>
          <w:rStyle w:val="Counsel"/>
          <w:color w:val="auto"/>
        </w:rPr>
        <w:t xml:space="preserve"> (with </w:t>
      </w:r>
      <w:r w:rsidRPr="00E62499">
        <w:rPr>
          <w:rStyle w:val="Counsel"/>
          <w:i/>
          <w:iCs/>
          <w:color w:val="auto"/>
        </w:rPr>
        <w:t>AP Ellis</w:t>
      </w:r>
      <w:r w:rsidRPr="00E62499">
        <w:rPr>
          <w:rStyle w:val="Counsel"/>
          <w:color w:val="auto"/>
        </w:rPr>
        <w:t>) for the first and second respondents.</w:t>
      </w:r>
      <w:proofErr w:type="gramEnd"/>
    </w:p>
    <w:p w:rsidR="00657C10" w:rsidRPr="00EF601B" w:rsidRDefault="00657C10" w:rsidP="00657C10">
      <w:pPr>
        <w:pStyle w:val="QT-Field"/>
        <w:widowControl/>
        <w:tabs>
          <w:tab w:val="clear" w:pos="283"/>
          <w:tab w:val="left" w:pos="2835"/>
        </w:tabs>
        <w:rPr>
          <w:rFonts w:cs="Verdana"/>
          <w:color w:val="auto"/>
          <w:highlight w:val="yellow"/>
        </w:rPr>
      </w:pPr>
      <w:r w:rsidRPr="00EF601B">
        <w:rPr>
          <w:rStyle w:val="FieldNormalBlue"/>
          <w:color w:val="auto"/>
        </w:rPr>
        <w:t>Annotations</w:t>
      </w:r>
    </w:p>
    <w:p w:rsidR="00531079" w:rsidRPr="00E62499" w:rsidRDefault="00531079">
      <w:pPr>
        <w:pStyle w:val="Level-NormalBlue"/>
        <w:widowControl/>
        <w:rPr>
          <w:rStyle w:val="Mc"/>
          <w:b w:val="0"/>
          <w:bCs w:val="0"/>
          <w:color w:val="auto"/>
        </w:rPr>
      </w:pPr>
      <w:r w:rsidRPr="00E62499">
        <w:rPr>
          <w:rStyle w:val="Mc"/>
          <w:b w:val="0"/>
          <w:bCs w:val="0"/>
          <w:color w:val="auto"/>
        </w:rPr>
        <w:t xml:space="preserve">E </w:t>
      </w:r>
    </w:p>
    <w:p w:rsidR="00531079" w:rsidRPr="00E62499" w:rsidRDefault="00531079">
      <w:pPr>
        <w:pStyle w:val="FieldLine-2"/>
        <w:widowControl/>
        <w:rPr>
          <w:rStyle w:val="Mc"/>
          <w:color w:val="auto"/>
        </w:rPr>
      </w:pPr>
      <w:r w:rsidRPr="00E62499">
        <w:rPr>
          <w:rStyle w:val="Mc"/>
          <w:color w:val="auto"/>
        </w:rPr>
        <w:t xml:space="preserve">F </w:t>
      </w:r>
    </w:p>
    <w:p w:rsidR="00531079" w:rsidRPr="00E62499" w:rsidRDefault="00531079">
      <w:pPr>
        <w:pStyle w:val="Level-NormalBlue"/>
        <w:widowControl/>
        <w:rPr>
          <w:rFonts w:cs="Verdana"/>
          <w:color w:val="auto"/>
        </w:rPr>
      </w:pPr>
      <w:r w:rsidRPr="00E62499">
        <w:rPr>
          <w:rStyle w:val="Hidden-Grey-8"/>
          <w:b w:val="0"/>
          <w:bCs w:val="0"/>
          <w:color w:val="auto"/>
        </w:rPr>
        <w:t>[zFNz]</w:t>
      </w:r>
      <w:proofErr w:type="spellStart"/>
      <w:proofErr w:type="gramStart"/>
      <w:r w:rsidRPr="00E62499">
        <w:rPr>
          <w:rFonts w:cs="Verdana"/>
          <w:color w:val="auto"/>
        </w:rPr>
        <w:t>Flynote</w:t>
      </w:r>
      <w:proofErr w:type="spellEnd"/>
      <w:r w:rsidRPr="00E62499">
        <w:rPr>
          <w:rFonts w:cs="Verdana"/>
          <w:color w:val="auto"/>
        </w:rPr>
        <w:t xml:space="preserve"> :</w:t>
      </w:r>
      <w:proofErr w:type="gramEnd"/>
      <w:r w:rsidRPr="00E62499">
        <w:rPr>
          <w:rFonts w:cs="Verdana"/>
          <w:color w:val="auto"/>
        </w:rPr>
        <w:t xml:space="preserve"> </w:t>
      </w:r>
      <w:proofErr w:type="spellStart"/>
      <w:r w:rsidRPr="00E62499">
        <w:rPr>
          <w:rFonts w:cs="Verdana"/>
          <w:color w:val="auto"/>
        </w:rPr>
        <w:t>Sleutelwoorde</w:t>
      </w:r>
      <w:proofErr w:type="spellEnd"/>
    </w:p>
    <w:p w:rsidR="00531079" w:rsidRPr="00E62499" w:rsidRDefault="00531079">
      <w:pPr>
        <w:pStyle w:val="Flynote"/>
        <w:widowControl/>
        <w:rPr>
          <w:rStyle w:val="FNote"/>
          <w:rFonts w:cs="Verdana"/>
          <w:color w:val="auto"/>
        </w:rPr>
      </w:pPr>
      <w:r w:rsidRPr="00E62499">
        <w:rPr>
          <w:rStyle w:val="Mc"/>
          <w:color w:val="auto"/>
        </w:rPr>
        <w:t xml:space="preserve"> G </w:t>
      </w:r>
      <w:r w:rsidRPr="00E62499">
        <w:rPr>
          <w:rStyle w:val="FNote"/>
          <w:rFonts w:cs="Verdana"/>
          <w:b/>
          <w:bCs/>
          <w:color w:val="auto"/>
        </w:rPr>
        <w:t>Exchange control</w:t>
      </w:r>
      <w:r w:rsidRPr="00E62499">
        <w:rPr>
          <w:rStyle w:val="FNote"/>
          <w:rFonts w:cs="Verdana"/>
          <w:color w:val="auto"/>
        </w:rPr>
        <w:t xml:space="preserve"> — Exchange Control Regulations — </w:t>
      </w:r>
      <w:r w:rsidR="00EE3A39">
        <w:rPr>
          <w:rStyle w:val="FNote"/>
          <w:rFonts w:cs="Verdana"/>
          <w:color w:val="auto"/>
        </w:rPr>
        <w:t>‘</w:t>
      </w:r>
      <w:r w:rsidRPr="00E62499">
        <w:rPr>
          <w:rStyle w:val="FNote"/>
          <w:rFonts w:cs="Verdana"/>
          <w:color w:val="auto"/>
        </w:rPr>
        <w:t>Capital</w:t>
      </w:r>
      <w:r w:rsidR="00EE3A39">
        <w:rPr>
          <w:rStyle w:val="FNote"/>
          <w:rFonts w:cs="Verdana"/>
          <w:color w:val="auto"/>
        </w:rPr>
        <w:t>’</w:t>
      </w:r>
      <w:r w:rsidRPr="00E62499">
        <w:rPr>
          <w:rStyle w:val="FNote"/>
          <w:rFonts w:cs="Verdana"/>
          <w:color w:val="auto"/>
        </w:rPr>
        <w:t xml:space="preserve"> — Meaning — Trademark not </w:t>
      </w:r>
      <w:r w:rsidR="00EE3A39">
        <w:rPr>
          <w:rStyle w:val="FNote"/>
          <w:rFonts w:cs="Verdana"/>
          <w:color w:val="auto"/>
        </w:rPr>
        <w:t>‘</w:t>
      </w:r>
      <w:r w:rsidRPr="00E62499">
        <w:rPr>
          <w:rStyle w:val="FNote"/>
          <w:rFonts w:cs="Verdana"/>
          <w:color w:val="auto"/>
        </w:rPr>
        <w:t>capital</w:t>
      </w:r>
      <w:r w:rsidR="00EE3A39">
        <w:rPr>
          <w:rStyle w:val="FNote"/>
          <w:rFonts w:cs="Verdana"/>
          <w:color w:val="auto"/>
        </w:rPr>
        <w:t>’</w:t>
      </w:r>
      <w:r w:rsidRPr="00E62499">
        <w:rPr>
          <w:rStyle w:val="FNote"/>
          <w:rFonts w:cs="Verdana"/>
          <w:color w:val="auto"/>
        </w:rPr>
        <w:t xml:space="preserve"> — Currency and Exchanges Act 9 of 1933, s 9 and reg 10(1</w:t>
      </w:r>
      <w:proofErr w:type="gramStart"/>
      <w:r w:rsidRPr="00E62499">
        <w:rPr>
          <w:rStyle w:val="FNote"/>
          <w:rFonts w:cs="Verdana"/>
          <w:color w:val="auto"/>
        </w:rPr>
        <w:t>)</w:t>
      </w:r>
      <w:r w:rsidRPr="00E62499">
        <w:rPr>
          <w:rStyle w:val="FNote"/>
          <w:rFonts w:cs="Verdana"/>
          <w:i/>
          <w:color w:val="auto"/>
        </w:rPr>
        <w:t>(</w:t>
      </w:r>
      <w:proofErr w:type="gramEnd"/>
      <w:r w:rsidRPr="00E62499">
        <w:rPr>
          <w:rStyle w:val="FNote"/>
          <w:rFonts w:cs="Verdana"/>
          <w:i/>
          <w:color w:val="auto"/>
        </w:rPr>
        <w:t>c)</w:t>
      </w:r>
      <w:r w:rsidRPr="00E62499">
        <w:rPr>
          <w:rStyle w:val="FNote"/>
          <w:rFonts w:cs="Verdana"/>
          <w:color w:val="auto"/>
        </w:rPr>
        <w:t>.</w:t>
      </w:r>
    </w:p>
    <w:p w:rsidR="00531079" w:rsidRPr="00E62499" w:rsidRDefault="00531079">
      <w:pPr>
        <w:pStyle w:val="Flynote"/>
        <w:widowControl/>
        <w:rPr>
          <w:rStyle w:val="FNote"/>
          <w:rFonts w:cs="Verdana"/>
          <w:color w:val="auto"/>
        </w:rPr>
      </w:pPr>
      <w:r w:rsidRPr="00E62499">
        <w:rPr>
          <w:rStyle w:val="FNote"/>
          <w:rFonts w:cs="Verdana"/>
          <w:b/>
          <w:bCs/>
          <w:color w:val="auto"/>
        </w:rPr>
        <w:t>Exchange control</w:t>
      </w:r>
      <w:r w:rsidRPr="00E62499">
        <w:rPr>
          <w:rStyle w:val="FNote"/>
          <w:rFonts w:cs="Verdana"/>
          <w:color w:val="auto"/>
        </w:rPr>
        <w:t xml:space="preserve"> — Exchange Control Regulations — Transaction to export capital — Treasury permission to enter into transaction — Failure to obtain</w:t>
      </w:r>
      <w:r w:rsidR="00CD520F" w:rsidRPr="00E62499">
        <w:rPr>
          <w:rStyle w:val="FNote"/>
          <w:rFonts w:cs="Verdana"/>
          <w:color w:val="auto"/>
        </w:rPr>
        <w:t xml:space="preserve"> </w:t>
      </w:r>
      <w:r w:rsidRPr="00E62499">
        <w:rPr>
          <w:rStyle w:val="FNote"/>
          <w:rFonts w:cs="Verdana"/>
          <w:color w:val="auto"/>
        </w:rPr>
        <w:t>permission not rendering agreement void — Currency and Exchanges Act 9 of 1933, s 9 and reg 10(1</w:t>
      </w:r>
      <w:proofErr w:type="gramStart"/>
      <w:r w:rsidRPr="00E62499">
        <w:rPr>
          <w:rStyle w:val="FNote"/>
          <w:rFonts w:cs="Verdana"/>
          <w:color w:val="auto"/>
        </w:rPr>
        <w:t>)</w:t>
      </w:r>
      <w:r w:rsidRPr="00E62499">
        <w:rPr>
          <w:rStyle w:val="FNote"/>
          <w:rFonts w:cs="Verdana"/>
          <w:i/>
          <w:color w:val="auto"/>
        </w:rPr>
        <w:t>(</w:t>
      </w:r>
      <w:proofErr w:type="gramEnd"/>
      <w:r w:rsidRPr="00E62499">
        <w:rPr>
          <w:rStyle w:val="FNote"/>
          <w:rFonts w:cs="Verdana"/>
          <w:i/>
          <w:color w:val="auto"/>
        </w:rPr>
        <w:t>c)</w:t>
      </w:r>
      <w:r w:rsidRPr="00E62499">
        <w:rPr>
          <w:rStyle w:val="FNote"/>
          <w:rFonts w:cs="Verdana"/>
          <w:color w:val="auto"/>
        </w:rPr>
        <w:t>.</w:t>
      </w:r>
    </w:p>
    <w:p w:rsidR="00531079" w:rsidRPr="00E62499" w:rsidRDefault="00531079">
      <w:pPr>
        <w:pStyle w:val="Level-NormalBlue"/>
        <w:widowControl/>
        <w:rPr>
          <w:rFonts w:cs="Verdana"/>
          <w:color w:val="auto"/>
        </w:rPr>
      </w:pPr>
      <w:r w:rsidRPr="00E62499">
        <w:rPr>
          <w:rStyle w:val="Hidden-Grey-8"/>
          <w:b w:val="0"/>
          <w:bCs w:val="0"/>
          <w:color w:val="auto"/>
        </w:rPr>
        <w:t>[zHNz]</w:t>
      </w:r>
      <w:proofErr w:type="spellStart"/>
      <w:proofErr w:type="gramStart"/>
      <w:r w:rsidRPr="00E62499">
        <w:rPr>
          <w:rFonts w:cs="Verdana"/>
          <w:color w:val="auto"/>
        </w:rPr>
        <w:t>Headnote</w:t>
      </w:r>
      <w:proofErr w:type="spellEnd"/>
      <w:r w:rsidRPr="00E62499">
        <w:rPr>
          <w:rFonts w:cs="Verdana"/>
          <w:color w:val="auto"/>
        </w:rPr>
        <w:t xml:space="preserve"> :</w:t>
      </w:r>
      <w:proofErr w:type="gramEnd"/>
      <w:r w:rsidRPr="00E62499">
        <w:rPr>
          <w:rFonts w:cs="Verdana"/>
          <w:color w:val="auto"/>
        </w:rPr>
        <w:t xml:space="preserve"> </w:t>
      </w:r>
      <w:proofErr w:type="spellStart"/>
      <w:r w:rsidRPr="00E62499">
        <w:rPr>
          <w:rFonts w:cs="Verdana"/>
          <w:color w:val="auto"/>
        </w:rPr>
        <w:t>Kopnota</w:t>
      </w:r>
      <w:proofErr w:type="spellEnd"/>
    </w:p>
    <w:p w:rsidR="00531079" w:rsidRPr="00E62499" w:rsidRDefault="00531079">
      <w:pPr>
        <w:pStyle w:val="Para"/>
        <w:widowControl/>
        <w:rPr>
          <w:rStyle w:val="HNote"/>
          <w:rFonts w:cs="Verdana"/>
          <w:color w:val="auto"/>
        </w:rPr>
      </w:pPr>
      <w:r w:rsidRPr="00E62499">
        <w:rPr>
          <w:rStyle w:val="HNote"/>
          <w:rFonts w:cs="Verdana"/>
          <w:color w:val="auto"/>
        </w:rPr>
        <w:t>Regulation 10 of the Exchange Control Regulations provides that:</w:t>
      </w:r>
    </w:p>
    <w:p w:rsidR="00531079" w:rsidRPr="00670A10" w:rsidRDefault="00EE3A39" w:rsidP="00AB08E4">
      <w:pPr>
        <w:pStyle w:val="QT-I"/>
        <w:widowControl/>
        <w:tabs>
          <w:tab w:val="clear" w:pos="283"/>
        </w:tabs>
        <w:ind w:left="284" w:firstLine="284"/>
        <w:rPr>
          <w:rFonts w:cs="Verdana"/>
          <w:color w:val="auto"/>
          <w:sz w:val="17"/>
          <w:szCs w:val="17"/>
        </w:rPr>
      </w:pPr>
      <w:r>
        <w:rPr>
          <w:rFonts w:cs="Verdana"/>
          <w:color w:val="auto"/>
          <w:sz w:val="17"/>
          <w:szCs w:val="17"/>
        </w:rPr>
        <w:t>‘</w:t>
      </w:r>
      <w:r w:rsidR="00531079" w:rsidRPr="00670A10">
        <w:rPr>
          <w:rFonts w:cs="Verdana"/>
          <w:color w:val="auto"/>
          <w:sz w:val="17"/>
          <w:szCs w:val="17"/>
        </w:rPr>
        <w:t>(1) No person shall, except with permission granted by the Treasury and in accordance with such conditions as the Treasury may impose</w:t>
      </w:r>
      <w:r w:rsidR="00AB08E4" w:rsidRPr="00670A10">
        <w:rPr>
          <w:rFonts w:cs="Verdana"/>
          <w:color w:val="auto"/>
          <w:sz w:val="17"/>
          <w:szCs w:val="17"/>
        </w:rPr>
        <w:t> –</w:t>
      </w:r>
    </w:p>
    <w:p w:rsidR="00531079" w:rsidRPr="00670A10" w:rsidRDefault="00531079" w:rsidP="00AB08E4">
      <w:pPr>
        <w:pStyle w:val="QT-I"/>
        <w:widowControl/>
        <w:tabs>
          <w:tab w:val="clear" w:pos="283"/>
          <w:tab w:val="left" w:pos="709"/>
        </w:tabs>
        <w:ind w:left="709" w:hanging="425"/>
        <w:rPr>
          <w:rStyle w:val="HNote"/>
          <w:rFonts w:cs="Verdana"/>
          <w:color w:val="auto"/>
          <w:sz w:val="17"/>
          <w:szCs w:val="17"/>
        </w:rPr>
      </w:pPr>
      <w:r w:rsidRPr="00670A10">
        <w:rPr>
          <w:rStyle w:val="Mc"/>
          <w:color w:val="auto"/>
          <w:sz w:val="17"/>
          <w:szCs w:val="17"/>
        </w:rPr>
        <w:t xml:space="preserve"> I </w:t>
      </w:r>
      <w:r w:rsidRPr="00670A10">
        <w:rPr>
          <w:rStyle w:val="Mc"/>
          <w:color w:val="auto"/>
          <w:sz w:val="17"/>
          <w:szCs w:val="17"/>
        </w:rPr>
        <w:tab/>
      </w:r>
      <w:r w:rsidRPr="00670A10">
        <w:rPr>
          <w:rStyle w:val="HNote"/>
          <w:rFonts w:cs="Verdana"/>
          <w:color w:val="auto"/>
          <w:sz w:val="17"/>
          <w:szCs w:val="17"/>
        </w:rPr>
        <w:t>. . .</w:t>
      </w:r>
    </w:p>
    <w:p w:rsidR="00531079" w:rsidRPr="00670A10" w:rsidRDefault="00531079" w:rsidP="00AB08E4">
      <w:pPr>
        <w:pStyle w:val="QT-I"/>
        <w:widowControl/>
        <w:tabs>
          <w:tab w:val="clear" w:pos="283"/>
          <w:tab w:val="left" w:pos="709"/>
        </w:tabs>
        <w:ind w:left="709" w:hanging="425"/>
        <w:rPr>
          <w:rStyle w:val="HNote"/>
          <w:rFonts w:cs="Verdana"/>
          <w:color w:val="auto"/>
          <w:sz w:val="17"/>
          <w:szCs w:val="17"/>
        </w:rPr>
      </w:pPr>
      <w:r w:rsidRPr="00670A10">
        <w:rPr>
          <w:rStyle w:val="HNote"/>
          <w:rFonts w:cs="Verdana"/>
          <w:i/>
          <w:iCs/>
          <w:color w:val="auto"/>
          <w:sz w:val="17"/>
          <w:szCs w:val="17"/>
        </w:rPr>
        <w:t>(c)</w:t>
      </w:r>
      <w:r w:rsidRPr="00670A10">
        <w:rPr>
          <w:rStyle w:val="HNote"/>
          <w:rFonts w:cs="Verdana"/>
          <w:i/>
          <w:iCs/>
          <w:color w:val="auto"/>
          <w:sz w:val="17"/>
          <w:szCs w:val="17"/>
        </w:rPr>
        <w:tab/>
      </w:r>
      <w:proofErr w:type="gramStart"/>
      <w:r w:rsidRPr="00670A10">
        <w:rPr>
          <w:rStyle w:val="HNote"/>
          <w:rFonts w:cs="Verdana"/>
          <w:color w:val="auto"/>
          <w:sz w:val="17"/>
          <w:szCs w:val="17"/>
        </w:rPr>
        <w:t>enter</w:t>
      </w:r>
      <w:proofErr w:type="gramEnd"/>
      <w:r w:rsidRPr="00670A10">
        <w:rPr>
          <w:rStyle w:val="HNote"/>
          <w:rFonts w:cs="Verdana"/>
          <w:color w:val="auto"/>
          <w:sz w:val="17"/>
          <w:szCs w:val="17"/>
        </w:rPr>
        <w:t xml:space="preserve"> into any transaction whereby capital or any right to capital is directly or indirectly exported from the Republic.</w:t>
      </w:r>
      <w:r w:rsidR="00EE3A39">
        <w:rPr>
          <w:rStyle w:val="HNote"/>
          <w:rFonts w:cs="Verdana"/>
          <w:color w:val="auto"/>
          <w:sz w:val="17"/>
          <w:szCs w:val="17"/>
        </w:rPr>
        <w:t>’</w:t>
      </w:r>
    </w:p>
    <w:p w:rsidR="00531079" w:rsidRPr="00E62499" w:rsidRDefault="00531079" w:rsidP="00CC59E6">
      <w:pPr>
        <w:pStyle w:val="Para"/>
        <w:widowControl/>
        <w:rPr>
          <w:rFonts w:cs="Verdana"/>
          <w:color w:val="auto"/>
        </w:rPr>
      </w:pPr>
      <w:r w:rsidRPr="00E62499">
        <w:rPr>
          <w:rStyle w:val="HNote"/>
          <w:rFonts w:cs="Verdana"/>
          <w:color w:val="auto"/>
        </w:rPr>
        <w:t xml:space="preserve">A trademark is not </w:t>
      </w:r>
      <w:r w:rsidR="00EE3A39">
        <w:rPr>
          <w:rStyle w:val="HNote"/>
          <w:rFonts w:cs="Verdana"/>
          <w:color w:val="auto"/>
        </w:rPr>
        <w:t>‘</w:t>
      </w:r>
      <w:r w:rsidRPr="00E62499">
        <w:rPr>
          <w:rStyle w:val="HNote"/>
          <w:rFonts w:cs="Verdana"/>
          <w:color w:val="auto"/>
        </w:rPr>
        <w:t>capital</w:t>
      </w:r>
      <w:r w:rsidR="00EE3A39">
        <w:rPr>
          <w:rStyle w:val="HNote"/>
          <w:rFonts w:cs="Verdana"/>
          <w:color w:val="auto"/>
        </w:rPr>
        <w:t>’</w:t>
      </w:r>
      <w:r w:rsidRPr="00E62499">
        <w:rPr>
          <w:rStyle w:val="HNote"/>
          <w:rFonts w:cs="Verdana"/>
          <w:color w:val="auto"/>
        </w:rPr>
        <w:t xml:space="preserve"> within the meaning of the term used in the regulation (</w:t>
      </w:r>
      <w:r w:rsidR="00CC59E6" w:rsidRPr="00E62499">
        <w:rPr>
          <w:rStyle w:val="HNote"/>
          <w:rFonts w:cs="Verdana"/>
          <w:color w:val="auto"/>
        </w:rPr>
        <w:t>p</w:t>
      </w:r>
      <w:r w:rsidRPr="00E62499">
        <w:rPr>
          <w:rStyle w:val="HNote"/>
          <w:rFonts w:cs="Verdana"/>
          <w:color w:val="auto"/>
        </w:rPr>
        <w:t>aragraphs [5], [7] and [15] at 397B</w:t>
      </w:r>
      <w:r w:rsidR="00943A7F" w:rsidRPr="00E62499">
        <w:rPr>
          <w:rStyle w:val="HNote"/>
          <w:rFonts w:cs="Verdana"/>
          <w:color w:val="auto"/>
        </w:rPr>
        <w:t>–</w:t>
      </w:r>
      <w:r w:rsidRPr="00E62499">
        <w:rPr>
          <w:rStyle w:val="HNote"/>
          <w:rFonts w:cs="Verdana"/>
          <w:color w:val="auto"/>
        </w:rPr>
        <w:t>C, 398B</w:t>
      </w:r>
      <w:r w:rsidR="00943A7F" w:rsidRPr="00E62499">
        <w:rPr>
          <w:rStyle w:val="HNote"/>
          <w:rFonts w:cs="Verdana"/>
          <w:color w:val="auto"/>
        </w:rPr>
        <w:t>–</w:t>
      </w:r>
      <w:r w:rsidRPr="00E62499">
        <w:rPr>
          <w:rStyle w:val="HNote"/>
          <w:rFonts w:cs="Verdana"/>
          <w:color w:val="auto"/>
        </w:rPr>
        <w:t xml:space="preserve">C and </w:t>
      </w:r>
      <w:r w:rsidRPr="00E62499">
        <w:rPr>
          <w:rStyle w:val="Mc"/>
          <w:color w:val="auto"/>
        </w:rPr>
        <w:t xml:space="preserve"> J </w:t>
      </w:r>
      <w:r w:rsidRPr="00E62499">
        <w:rPr>
          <w:rStyle w:val="HNote"/>
          <w:rFonts w:cs="Verdana"/>
          <w:color w:val="auto"/>
        </w:rPr>
        <w:t>400G</w:t>
      </w:r>
      <w:r w:rsidR="00943A7F" w:rsidRPr="00E62499">
        <w:rPr>
          <w:rStyle w:val="HNote"/>
          <w:rFonts w:cs="Verdana"/>
          <w:color w:val="auto"/>
        </w:rPr>
        <w:t>–</w:t>
      </w:r>
      <w:r w:rsidRPr="00E62499">
        <w:rPr>
          <w:rStyle w:val="HNote"/>
          <w:rFonts w:cs="Verdana"/>
          <w:color w:val="auto"/>
        </w:rPr>
        <w:t>H)</w:t>
      </w:r>
      <w:r w:rsidR="00CC59E6" w:rsidRPr="00E62499">
        <w:rPr>
          <w:rStyle w:val="HNote"/>
          <w:rFonts w:cs="Verdana"/>
          <w:color w:val="auto"/>
        </w:rPr>
        <w:t>.</w:t>
      </w:r>
    </w:p>
    <w:p w:rsidR="00531079" w:rsidRPr="00E62499" w:rsidRDefault="00531079">
      <w:pPr>
        <w:pStyle w:val="Para"/>
        <w:widowControl/>
        <w:rPr>
          <w:rStyle w:val="HNote"/>
          <w:rFonts w:cs="Verdana"/>
          <w:color w:val="auto"/>
        </w:rPr>
      </w:pPr>
      <w:r w:rsidRPr="00E62499">
        <w:rPr>
          <w:rStyle w:val="HNote"/>
          <w:rFonts w:cs="Verdana"/>
          <w:color w:val="auto"/>
        </w:rPr>
        <w:t xml:space="preserve">Failure to obtain prior Treasury consent for an agreement falling under </w:t>
      </w:r>
      <w:r w:rsidRPr="00E62499">
        <w:rPr>
          <w:rStyle w:val="Mc"/>
          <w:color w:val="auto"/>
        </w:rPr>
        <w:t xml:space="preserve"> A </w:t>
      </w:r>
      <w:r w:rsidRPr="00E62499">
        <w:rPr>
          <w:rStyle w:val="HNote"/>
          <w:rFonts w:cs="Verdana"/>
          <w:color w:val="auto"/>
        </w:rPr>
        <w:t xml:space="preserve"> reg 10(1</w:t>
      </w:r>
      <w:proofErr w:type="gramStart"/>
      <w:r w:rsidRPr="00E62499">
        <w:rPr>
          <w:rStyle w:val="HNote"/>
          <w:rFonts w:cs="Verdana"/>
          <w:color w:val="auto"/>
        </w:rPr>
        <w:t>)</w:t>
      </w:r>
      <w:r w:rsidRPr="00E62499">
        <w:rPr>
          <w:rStyle w:val="HNote"/>
          <w:rFonts w:cs="Verdana"/>
          <w:i/>
          <w:iCs/>
          <w:color w:val="auto"/>
        </w:rPr>
        <w:t>(</w:t>
      </w:r>
      <w:proofErr w:type="gramEnd"/>
      <w:r w:rsidRPr="00E62499">
        <w:rPr>
          <w:rStyle w:val="HNote"/>
          <w:rFonts w:cs="Verdana"/>
          <w:i/>
          <w:iCs/>
          <w:color w:val="auto"/>
        </w:rPr>
        <w:t>c)</w:t>
      </w:r>
      <w:r w:rsidRPr="00E62499">
        <w:rPr>
          <w:rStyle w:val="HNote"/>
          <w:rFonts w:cs="Verdana"/>
          <w:color w:val="auto"/>
        </w:rPr>
        <w:t xml:space="preserve"> does not render the agreement void (</w:t>
      </w:r>
      <w:r w:rsidR="00CC59E6" w:rsidRPr="00E62499">
        <w:rPr>
          <w:rStyle w:val="HNote"/>
          <w:rFonts w:cs="Verdana"/>
          <w:color w:val="auto"/>
        </w:rPr>
        <w:t>p</w:t>
      </w:r>
      <w:r w:rsidRPr="00E62499">
        <w:rPr>
          <w:rStyle w:val="HNote"/>
          <w:rFonts w:cs="Verdana"/>
          <w:color w:val="auto"/>
        </w:rPr>
        <w:t>aragraphs [15], [23], [24] and [25] at 400G</w:t>
      </w:r>
      <w:r w:rsidR="00943A7F" w:rsidRPr="00E62499">
        <w:rPr>
          <w:rStyle w:val="HNote"/>
          <w:rFonts w:cs="Verdana"/>
          <w:color w:val="auto"/>
        </w:rPr>
        <w:t>–</w:t>
      </w:r>
      <w:r w:rsidRPr="00E62499">
        <w:rPr>
          <w:rStyle w:val="HNote"/>
          <w:rFonts w:cs="Verdana"/>
          <w:color w:val="auto"/>
        </w:rPr>
        <w:t>H, 403G, 404A</w:t>
      </w:r>
      <w:r w:rsidR="00943A7F" w:rsidRPr="00E62499">
        <w:rPr>
          <w:rStyle w:val="HNote"/>
          <w:rFonts w:cs="Verdana"/>
          <w:color w:val="auto"/>
        </w:rPr>
        <w:t>–</w:t>
      </w:r>
      <w:r w:rsidRPr="00E62499">
        <w:rPr>
          <w:rStyle w:val="HNote"/>
          <w:rFonts w:cs="Verdana"/>
          <w:color w:val="auto"/>
        </w:rPr>
        <w:t>D and 404E</w:t>
      </w:r>
      <w:r w:rsidR="00943A7F" w:rsidRPr="00E62499">
        <w:rPr>
          <w:rStyle w:val="HNote"/>
          <w:rFonts w:cs="Verdana"/>
          <w:color w:val="auto"/>
        </w:rPr>
        <w:t>–</w:t>
      </w:r>
      <w:r w:rsidRPr="00E62499">
        <w:rPr>
          <w:rStyle w:val="HNote"/>
          <w:rFonts w:cs="Verdana"/>
          <w:color w:val="auto"/>
        </w:rPr>
        <w:t>405B)</w:t>
      </w:r>
      <w:r w:rsidR="00CC59E6" w:rsidRPr="00E62499">
        <w:rPr>
          <w:rStyle w:val="HNote"/>
          <w:rFonts w:cs="Verdana"/>
          <w:color w:val="auto"/>
        </w:rPr>
        <w:t>.</w:t>
      </w:r>
    </w:p>
    <w:p w:rsidR="00531079" w:rsidRPr="00E62499" w:rsidRDefault="00531079">
      <w:pPr>
        <w:pStyle w:val="Level-NormalBlue"/>
        <w:widowControl/>
        <w:rPr>
          <w:rFonts w:cs="Verdana"/>
          <w:color w:val="auto"/>
        </w:rPr>
      </w:pPr>
      <w:r w:rsidRPr="00E62499">
        <w:rPr>
          <w:rStyle w:val="Hidden-Grey-8"/>
          <w:b w:val="0"/>
          <w:bCs w:val="0"/>
          <w:color w:val="auto"/>
        </w:rPr>
        <w:t>[zCAz]</w:t>
      </w:r>
      <w:r w:rsidRPr="00E62499">
        <w:rPr>
          <w:rFonts w:cs="Verdana"/>
          <w:color w:val="auto"/>
        </w:rPr>
        <w:t>Cases Considered</w:t>
      </w:r>
    </w:p>
    <w:p w:rsidR="00531079" w:rsidRPr="00E62499" w:rsidRDefault="00531079">
      <w:pPr>
        <w:pStyle w:val="Para"/>
        <w:widowControl/>
        <w:rPr>
          <w:rFonts w:cs="Verdana"/>
          <w:b/>
          <w:bCs/>
          <w:color w:val="auto"/>
        </w:rPr>
      </w:pPr>
      <w:r w:rsidRPr="00E62499">
        <w:rPr>
          <w:rFonts w:cs="Verdana"/>
          <w:b/>
          <w:bCs/>
          <w:color w:val="auto"/>
        </w:rPr>
        <w:t>Annotations:</w:t>
      </w:r>
    </w:p>
    <w:p w:rsidR="00AB08E4" w:rsidRDefault="00531079">
      <w:pPr>
        <w:pStyle w:val="Para"/>
        <w:widowControl/>
        <w:rPr>
          <w:rFonts w:cs="Verdana"/>
          <w:color w:val="auto"/>
          <w:u w:val="single"/>
        </w:rPr>
      </w:pPr>
      <w:r w:rsidRPr="00E62499">
        <w:rPr>
          <w:rFonts w:cs="Verdana"/>
          <w:color w:val="auto"/>
          <w:u w:val="single"/>
        </w:rPr>
        <w:t>Reported cases</w:t>
      </w:r>
    </w:p>
    <w:p w:rsidR="00531079" w:rsidRPr="00E62499" w:rsidRDefault="00531079">
      <w:pPr>
        <w:pStyle w:val="Para"/>
        <w:widowControl/>
        <w:rPr>
          <w:rStyle w:val="Mc"/>
          <w:color w:val="auto"/>
        </w:rPr>
      </w:pPr>
      <w:r w:rsidRPr="00E62499">
        <w:rPr>
          <w:rStyle w:val="Mc"/>
          <w:color w:val="auto"/>
        </w:rPr>
        <w:t xml:space="preserve"> B </w:t>
      </w:r>
    </w:p>
    <w:p w:rsidR="00531079" w:rsidRPr="00E62499" w:rsidRDefault="00531079">
      <w:pPr>
        <w:pStyle w:val="Para"/>
        <w:widowControl/>
        <w:rPr>
          <w:rFonts w:cs="Verdana"/>
          <w:color w:val="auto"/>
          <w:u w:val="single"/>
        </w:rPr>
      </w:pPr>
      <w:r w:rsidRPr="00E62499">
        <w:rPr>
          <w:rFonts w:cs="Verdana"/>
          <w:color w:val="auto"/>
          <w:u w:val="single"/>
        </w:rPr>
        <w:t>Southern Africa</w:t>
      </w:r>
    </w:p>
    <w:p w:rsidR="00531079" w:rsidRPr="00E62499" w:rsidRDefault="00531079">
      <w:pPr>
        <w:pStyle w:val="Para"/>
        <w:widowControl/>
        <w:rPr>
          <w:rFonts w:cs="Verdana"/>
          <w:color w:val="auto"/>
        </w:rPr>
      </w:pPr>
      <w:proofErr w:type="spellStart"/>
      <w:r w:rsidRPr="00E62499">
        <w:rPr>
          <w:rFonts w:cs="Verdana"/>
          <w:i/>
          <w:iCs/>
          <w:color w:val="auto"/>
        </w:rPr>
        <w:t>Afrisure</w:t>
      </w:r>
      <w:proofErr w:type="spellEnd"/>
      <w:r w:rsidRPr="00E62499">
        <w:rPr>
          <w:rFonts w:cs="Verdana"/>
          <w:i/>
          <w:iCs/>
          <w:color w:val="auto"/>
        </w:rPr>
        <w:t xml:space="preserve"> CC and </w:t>
      </w:r>
      <w:proofErr w:type="gramStart"/>
      <w:r w:rsidRPr="00E62499">
        <w:rPr>
          <w:rFonts w:cs="Verdana"/>
          <w:i/>
          <w:iCs/>
          <w:color w:val="auto"/>
        </w:rPr>
        <w:t>Another</w:t>
      </w:r>
      <w:proofErr w:type="gramEnd"/>
      <w:r w:rsidRPr="00E62499">
        <w:rPr>
          <w:rFonts w:cs="Verdana"/>
          <w:i/>
          <w:iCs/>
          <w:color w:val="auto"/>
        </w:rPr>
        <w:t xml:space="preserve"> v Watson NO and Another</w:t>
      </w:r>
      <w:r w:rsidRPr="00E62499">
        <w:rPr>
          <w:rFonts w:cs="Verdana"/>
          <w:color w:val="auto"/>
        </w:rPr>
        <w:t xml:space="preserve"> 2009 (2) SA 127 (SCA): referred to</w:t>
      </w:r>
    </w:p>
    <w:p w:rsidR="00531079" w:rsidRPr="00E62499" w:rsidRDefault="00531079">
      <w:pPr>
        <w:pStyle w:val="Para"/>
        <w:widowControl/>
        <w:rPr>
          <w:rStyle w:val="Mc"/>
          <w:color w:val="auto"/>
        </w:rPr>
      </w:pPr>
      <w:r w:rsidRPr="00E62499">
        <w:rPr>
          <w:rFonts w:cs="Verdana"/>
          <w:i/>
          <w:iCs/>
          <w:color w:val="auto"/>
        </w:rPr>
        <w:t xml:space="preserve">A-Team </w:t>
      </w:r>
      <w:proofErr w:type="spellStart"/>
      <w:r w:rsidRPr="00E62499">
        <w:rPr>
          <w:rFonts w:cs="Verdana"/>
          <w:i/>
          <w:iCs/>
          <w:color w:val="auto"/>
        </w:rPr>
        <w:t>Drankwinkel</w:t>
      </w:r>
      <w:proofErr w:type="spellEnd"/>
      <w:r w:rsidRPr="00E62499">
        <w:rPr>
          <w:rFonts w:cs="Verdana"/>
          <w:i/>
          <w:iCs/>
          <w:color w:val="auto"/>
        </w:rPr>
        <w:t xml:space="preserve"> BK en </w:t>
      </w:r>
      <w:r w:rsidR="00105D25" w:rsidRPr="00E62499">
        <w:rPr>
          <w:rFonts w:cs="Verdana"/>
          <w:i/>
          <w:iCs/>
          <w:color w:val="auto"/>
        </w:rPr>
        <w:t>’</w:t>
      </w:r>
      <w:r w:rsidRPr="00E62499">
        <w:rPr>
          <w:rFonts w:cs="Verdana"/>
          <w:i/>
          <w:iCs/>
          <w:color w:val="auto"/>
        </w:rPr>
        <w:t xml:space="preserve">n Ander v Botha en </w:t>
      </w:r>
      <w:r w:rsidR="00105D25" w:rsidRPr="00E62499">
        <w:rPr>
          <w:rFonts w:cs="Verdana"/>
          <w:i/>
          <w:iCs/>
          <w:color w:val="auto"/>
        </w:rPr>
        <w:t>’</w:t>
      </w:r>
      <w:r w:rsidRPr="00E62499">
        <w:rPr>
          <w:rFonts w:cs="Verdana"/>
          <w:i/>
          <w:iCs/>
          <w:color w:val="auto"/>
        </w:rPr>
        <w:t>n Ander NNO</w:t>
      </w:r>
      <w:r w:rsidRPr="00E62499">
        <w:rPr>
          <w:rFonts w:cs="Verdana"/>
          <w:color w:val="auto"/>
        </w:rPr>
        <w:t xml:space="preserve"> 1994 (1) SA 1 (A): referred to </w:t>
      </w:r>
      <w:r w:rsidRPr="00E62499">
        <w:rPr>
          <w:rStyle w:val="Mc"/>
          <w:color w:val="auto"/>
        </w:rPr>
        <w:t xml:space="preserve"> C </w:t>
      </w:r>
    </w:p>
    <w:p w:rsidR="00531079" w:rsidRPr="00E62499" w:rsidRDefault="00531079">
      <w:pPr>
        <w:pStyle w:val="Para"/>
        <w:widowControl/>
        <w:rPr>
          <w:rFonts w:cs="Verdana"/>
          <w:color w:val="auto"/>
        </w:rPr>
      </w:pPr>
      <w:r w:rsidRPr="00E62499">
        <w:rPr>
          <w:rFonts w:cs="Verdana"/>
          <w:i/>
          <w:iCs/>
          <w:color w:val="auto"/>
        </w:rPr>
        <w:t>Barclays National Bank Ltd v Brownlee</w:t>
      </w:r>
      <w:r w:rsidRPr="00E62499">
        <w:rPr>
          <w:rFonts w:cs="Verdana"/>
          <w:color w:val="auto"/>
        </w:rPr>
        <w:t xml:space="preserve"> 1981 (3) SA 579 (D): approved</w:t>
      </w:r>
    </w:p>
    <w:p w:rsidR="00531079" w:rsidRPr="00E62499" w:rsidRDefault="00531079">
      <w:pPr>
        <w:pStyle w:val="Para"/>
        <w:widowControl/>
        <w:rPr>
          <w:rFonts w:cs="Verdana"/>
          <w:color w:val="auto"/>
        </w:rPr>
      </w:pPr>
      <w:r w:rsidRPr="00E62499">
        <w:rPr>
          <w:rFonts w:cs="Verdana"/>
          <w:i/>
          <w:iCs/>
          <w:color w:val="auto"/>
        </w:rPr>
        <w:t>Barclays National Bank Ltd v Thompson</w:t>
      </w:r>
      <w:r w:rsidRPr="00E62499">
        <w:rPr>
          <w:rFonts w:cs="Verdana"/>
          <w:color w:val="auto"/>
        </w:rPr>
        <w:t xml:space="preserve"> 1985 (3) SA 778 (A): referred to</w:t>
      </w:r>
    </w:p>
    <w:p w:rsidR="00531079" w:rsidRPr="00E62499" w:rsidRDefault="00531079">
      <w:pPr>
        <w:pStyle w:val="Para"/>
        <w:widowControl/>
        <w:rPr>
          <w:rFonts w:cs="Verdana"/>
          <w:color w:val="auto"/>
        </w:rPr>
      </w:pPr>
      <w:proofErr w:type="spellStart"/>
      <w:r w:rsidRPr="00E62499">
        <w:rPr>
          <w:rFonts w:cs="Verdana"/>
          <w:i/>
          <w:iCs/>
          <w:color w:val="auto"/>
        </w:rPr>
        <w:lastRenderedPageBreak/>
        <w:t>Berzack</w:t>
      </w:r>
      <w:proofErr w:type="spellEnd"/>
      <w:r w:rsidRPr="00E62499">
        <w:rPr>
          <w:rFonts w:cs="Verdana"/>
          <w:i/>
          <w:iCs/>
          <w:color w:val="auto"/>
        </w:rPr>
        <w:t xml:space="preserve"> v Nedcor Bank Ltd</w:t>
      </w:r>
      <w:r w:rsidRPr="00E62499">
        <w:rPr>
          <w:rFonts w:cs="Verdana"/>
          <w:color w:val="auto"/>
        </w:rPr>
        <w:t xml:space="preserve"> [2001] 1 All SA 410 (SCA): referred to</w:t>
      </w:r>
    </w:p>
    <w:p w:rsidR="00531079" w:rsidRPr="00E62499" w:rsidRDefault="00531079">
      <w:pPr>
        <w:pStyle w:val="Para"/>
        <w:widowControl/>
        <w:rPr>
          <w:rFonts w:cs="Verdana"/>
          <w:color w:val="auto"/>
        </w:rPr>
      </w:pPr>
      <w:r w:rsidRPr="00E62499">
        <w:rPr>
          <w:rFonts w:cs="Verdana"/>
          <w:i/>
          <w:iCs/>
          <w:color w:val="auto"/>
        </w:rPr>
        <w:t xml:space="preserve">Botha v </w:t>
      </w:r>
      <w:proofErr w:type="spellStart"/>
      <w:r w:rsidRPr="00E62499">
        <w:rPr>
          <w:rFonts w:cs="Verdana"/>
          <w:i/>
          <w:iCs/>
          <w:color w:val="auto"/>
        </w:rPr>
        <w:t>Fick</w:t>
      </w:r>
      <w:proofErr w:type="spellEnd"/>
      <w:r w:rsidRPr="00E62499">
        <w:rPr>
          <w:rFonts w:cs="Verdana"/>
          <w:color w:val="auto"/>
        </w:rPr>
        <w:t xml:space="preserve"> 1995 (2) SA 750 (A): referred to</w:t>
      </w:r>
    </w:p>
    <w:p w:rsidR="00531079" w:rsidRPr="00E62499" w:rsidRDefault="00531079">
      <w:pPr>
        <w:pStyle w:val="Para"/>
        <w:widowControl/>
        <w:rPr>
          <w:rStyle w:val="Mc"/>
          <w:color w:val="auto"/>
        </w:rPr>
      </w:pPr>
      <w:proofErr w:type="spellStart"/>
      <w:r w:rsidRPr="00E62499">
        <w:rPr>
          <w:rFonts w:cs="Verdana"/>
          <w:i/>
          <w:iCs/>
          <w:color w:val="auto"/>
        </w:rPr>
        <w:t>Couve</w:t>
      </w:r>
      <w:proofErr w:type="spellEnd"/>
      <w:r w:rsidRPr="00E62499">
        <w:rPr>
          <w:rFonts w:cs="Verdana"/>
          <w:i/>
          <w:iCs/>
          <w:color w:val="auto"/>
        </w:rPr>
        <w:t xml:space="preserve"> and Another v </w:t>
      </w:r>
      <w:proofErr w:type="spellStart"/>
      <w:r w:rsidRPr="00E62499">
        <w:rPr>
          <w:rFonts w:cs="Verdana"/>
          <w:i/>
          <w:iCs/>
          <w:color w:val="auto"/>
        </w:rPr>
        <w:t>Reddot</w:t>
      </w:r>
      <w:proofErr w:type="spellEnd"/>
      <w:r w:rsidRPr="00E62499">
        <w:rPr>
          <w:rFonts w:cs="Verdana"/>
          <w:i/>
          <w:iCs/>
          <w:color w:val="auto"/>
        </w:rPr>
        <w:t xml:space="preserve"> International (Pty) Ltd and Others</w:t>
      </w:r>
      <w:r w:rsidRPr="00E62499">
        <w:rPr>
          <w:rFonts w:cs="Verdana"/>
          <w:color w:val="auto"/>
        </w:rPr>
        <w:t xml:space="preserve"> 2004 (6) SA 425 (W): overruled </w:t>
      </w:r>
      <w:r w:rsidRPr="00E62499">
        <w:rPr>
          <w:rStyle w:val="Mc"/>
          <w:color w:val="auto"/>
        </w:rPr>
        <w:t xml:space="preserve"> D </w:t>
      </w:r>
    </w:p>
    <w:p w:rsidR="00531079" w:rsidRPr="00E62499" w:rsidRDefault="00531079">
      <w:pPr>
        <w:pStyle w:val="Para"/>
        <w:widowControl/>
        <w:rPr>
          <w:rFonts w:cs="Verdana"/>
          <w:color w:val="auto"/>
        </w:rPr>
      </w:pPr>
      <w:r w:rsidRPr="00E62499">
        <w:rPr>
          <w:rFonts w:cs="Verdana"/>
          <w:i/>
          <w:iCs/>
          <w:color w:val="auto"/>
        </w:rPr>
        <w:t>Gallo Africa Ltd and Others v Sting Music (Pty) Ltd and Others</w:t>
      </w:r>
      <w:r w:rsidRPr="00E62499">
        <w:rPr>
          <w:rFonts w:cs="Verdana"/>
          <w:color w:val="auto"/>
        </w:rPr>
        <w:t xml:space="preserve"> 2010 (6) SA 329 (SCA): applied</w:t>
      </w:r>
    </w:p>
    <w:p w:rsidR="00531079" w:rsidRPr="00E62499" w:rsidRDefault="00531079">
      <w:pPr>
        <w:pStyle w:val="Para"/>
        <w:widowControl/>
        <w:rPr>
          <w:rFonts w:cs="Verdana"/>
          <w:color w:val="auto"/>
        </w:rPr>
      </w:pPr>
      <w:r w:rsidRPr="00E62499">
        <w:rPr>
          <w:rFonts w:cs="Verdana"/>
          <w:i/>
          <w:iCs/>
          <w:color w:val="auto"/>
        </w:rPr>
        <w:t>Goss v EC Goss &amp; Co (Pty) Ltd and Others</w:t>
      </w:r>
      <w:r w:rsidRPr="00E62499">
        <w:rPr>
          <w:rFonts w:cs="Verdana"/>
          <w:color w:val="auto"/>
        </w:rPr>
        <w:t xml:space="preserve"> 1970 (1) SA 602 (D): criticised</w:t>
      </w:r>
    </w:p>
    <w:p w:rsidR="00531079" w:rsidRPr="00E62499" w:rsidRDefault="00531079">
      <w:pPr>
        <w:pStyle w:val="Para"/>
        <w:widowControl/>
        <w:rPr>
          <w:rFonts w:cs="Verdana"/>
          <w:color w:val="auto"/>
        </w:rPr>
      </w:pPr>
      <w:r w:rsidRPr="00E62499">
        <w:rPr>
          <w:rFonts w:cs="Verdana"/>
          <w:i/>
          <w:iCs/>
          <w:color w:val="auto"/>
        </w:rPr>
        <w:t xml:space="preserve">Henry v </w:t>
      </w:r>
      <w:proofErr w:type="spellStart"/>
      <w:r w:rsidRPr="00E62499">
        <w:rPr>
          <w:rFonts w:cs="Verdana"/>
          <w:i/>
          <w:iCs/>
          <w:color w:val="auto"/>
        </w:rPr>
        <w:t>Branfield</w:t>
      </w:r>
      <w:proofErr w:type="spellEnd"/>
      <w:r w:rsidRPr="00E62499">
        <w:rPr>
          <w:rFonts w:cs="Verdana"/>
          <w:color w:val="auto"/>
        </w:rPr>
        <w:t xml:space="preserve"> 1996 (1) SA 244 (D): criticised</w:t>
      </w:r>
    </w:p>
    <w:p w:rsidR="00531079" w:rsidRPr="00E62499" w:rsidRDefault="00531079">
      <w:pPr>
        <w:pStyle w:val="Para"/>
        <w:widowControl/>
        <w:rPr>
          <w:rFonts w:cs="Verdana"/>
          <w:color w:val="auto"/>
        </w:rPr>
      </w:pPr>
      <w:r w:rsidRPr="00E62499">
        <w:rPr>
          <w:rFonts w:cs="Verdana"/>
          <w:i/>
          <w:iCs/>
          <w:color w:val="auto"/>
        </w:rPr>
        <w:t>Legator McKenna Inc and Another v Shea and Others</w:t>
      </w:r>
      <w:r w:rsidRPr="00E62499">
        <w:rPr>
          <w:rFonts w:cs="Verdana"/>
          <w:color w:val="auto"/>
        </w:rPr>
        <w:t xml:space="preserve"> 2010 (1) SA 35 (SCA): referred to</w:t>
      </w:r>
    </w:p>
    <w:p w:rsidR="00531079" w:rsidRPr="00E62499" w:rsidRDefault="00531079">
      <w:pPr>
        <w:pStyle w:val="Para"/>
        <w:widowControl/>
        <w:rPr>
          <w:rStyle w:val="Mc"/>
          <w:color w:val="auto"/>
        </w:rPr>
      </w:pPr>
      <w:proofErr w:type="spellStart"/>
      <w:r w:rsidRPr="00E62499">
        <w:rPr>
          <w:rFonts w:cs="Verdana"/>
          <w:i/>
          <w:iCs/>
          <w:color w:val="auto"/>
        </w:rPr>
        <w:t>Nestel</w:t>
      </w:r>
      <w:proofErr w:type="spellEnd"/>
      <w:r w:rsidRPr="00E62499">
        <w:rPr>
          <w:rFonts w:cs="Verdana"/>
          <w:i/>
          <w:iCs/>
          <w:color w:val="auto"/>
        </w:rPr>
        <w:t xml:space="preserve"> v National and </w:t>
      </w:r>
      <w:proofErr w:type="spellStart"/>
      <w:r w:rsidRPr="00E62499">
        <w:rPr>
          <w:rFonts w:cs="Verdana"/>
          <w:i/>
          <w:iCs/>
          <w:color w:val="auto"/>
        </w:rPr>
        <w:t>Grindlays</w:t>
      </w:r>
      <w:proofErr w:type="spellEnd"/>
      <w:r w:rsidRPr="00E62499">
        <w:rPr>
          <w:rFonts w:cs="Verdana"/>
          <w:i/>
          <w:iCs/>
          <w:color w:val="auto"/>
        </w:rPr>
        <w:t xml:space="preserve"> Bank Ltd</w:t>
      </w:r>
      <w:r w:rsidRPr="00E62499">
        <w:rPr>
          <w:rFonts w:cs="Verdana"/>
          <w:color w:val="auto"/>
        </w:rPr>
        <w:t xml:space="preserve"> 1962 (2) SA 390 (A): referred to </w:t>
      </w:r>
      <w:r w:rsidRPr="00E62499">
        <w:rPr>
          <w:rStyle w:val="Mc"/>
          <w:color w:val="auto"/>
        </w:rPr>
        <w:t xml:space="preserve"> E </w:t>
      </w:r>
    </w:p>
    <w:p w:rsidR="00531079" w:rsidRPr="00E62499" w:rsidRDefault="00531079">
      <w:pPr>
        <w:pStyle w:val="Para"/>
        <w:widowControl/>
        <w:rPr>
          <w:rFonts w:cs="Verdana"/>
          <w:color w:val="auto"/>
        </w:rPr>
      </w:pPr>
      <w:r w:rsidRPr="00E62499">
        <w:rPr>
          <w:rFonts w:cs="Verdana"/>
          <w:i/>
          <w:iCs/>
          <w:color w:val="auto"/>
        </w:rPr>
        <w:t xml:space="preserve">Oriental Products (Pty) Ltd v </w:t>
      </w:r>
      <w:proofErr w:type="spellStart"/>
      <w:r w:rsidRPr="00E62499">
        <w:rPr>
          <w:rFonts w:cs="Verdana"/>
          <w:i/>
          <w:iCs/>
          <w:color w:val="auto"/>
        </w:rPr>
        <w:t>Pegma</w:t>
      </w:r>
      <w:proofErr w:type="spellEnd"/>
      <w:r w:rsidRPr="00E62499">
        <w:rPr>
          <w:rFonts w:cs="Verdana"/>
          <w:i/>
          <w:iCs/>
          <w:color w:val="auto"/>
        </w:rPr>
        <w:t xml:space="preserve"> 178 Investments Trading CC and Others</w:t>
      </w:r>
      <w:r w:rsidRPr="00E62499">
        <w:rPr>
          <w:rFonts w:cs="Verdana"/>
          <w:color w:val="auto"/>
        </w:rPr>
        <w:t xml:space="preserve"> 2011 (2) SA 508 (SCA): referred to</w:t>
      </w:r>
    </w:p>
    <w:p w:rsidR="00531079" w:rsidRPr="00E62499" w:rsidRDefault="00531079">
      <w:pPr>
        <w:pStyle w:val="Para"/>
        <w:widowControl/>
        <w:rPr>
          <w:rFonts w:cs="Verdana"/>
          <w:color w:val="auto"/>
        </w:rPr>
      </w:pPr>
      <w:proofErr w:type="spellStart"/>
      <w:r w:rsidRPr="00E62499">
        <w:rPr>
          <w:rFonts w:cs="Verdana"/>
          <w:i/>
          <w:iCs/>
          <w:color w:val="auto"/>
        </w:rPr>
        <w:t>Pottie</w:t>
      </w:r>
      <w:proofErr w:type="spellEnd"/>
      <w:r w:rsidRPr="00E62499">
        <w:rPr>
          <w:rFonts w:cs="Verdana"/>
          <w:i/>
          <w:iCs/>
          <w:color w:val="auto"/>
        </w:rPr>
        <w:t xml:space="preserve"> v </w:t>
      </w:r>
      <w:proofErr w:type="spellStart"/>
      <w:r w:rsidRPr="00E62499">
        <w:rPr>
          <w:rFonts w:cs="Verdana"/>
          <w:i/>
          <w:iCs/>
          <w:color w:val="auto"/>
        </w:rPr>
        <w:t>Kotze</w:t>
      </w:r>
      <w:proofErr w:type="spellEnd"/>
      <w:r w:rsidRPr="00E62499">
        <w:rPr>
          <w:rFonts w:cs="Verdana"/>
          <w:color w:val="auto"/>
        </w:rPr>
        <w:t xml:space="preserve"> 1954 (3) SA 719 (A): referred to</w:t>
      </w:r>
    </w:p>
    <w:p w:rsidR="00531079" w:rsidRPr="00E62499" w:rsidRDefault="00531079">
      <w:pPr>
        <w:pStyle w:val="Para"/>
        <w:widowControl/>
        <w:rPr>
          <w:rStyle w:val="Mc"/>
          <w:color w:val="auto"/>
        </w:rPr>
      </w:pPr>
      <w:r w:rsidRPr="00E62499">
        <w:rPr>
          <w:rFonts w:cs="Verdana"/>
          <w:i/>
          <w:iCs/>
          <w:color w:val="auto"/>
        </w:rPr>
        <w:t>Pratt v First Rand Bank</w:t>
      </w:r>
      <w:r w:rsidRPr="00E62499">
        <w:rPr>
          <w:rFonts w:cs="Verdana"/>
          <w:color w:val="auto"/>
        </w:rPr>
        <w:t xml:space="preserve"> 2009 (2) SA 119 (SCA) ([2009] 1 All SA 158): referred to </w:t>
      </w:r>
      <w:r w:rsidRPr="00E62499">
        <w:rPr>
          <w:rStyle w:val="Mc"/>
          <w:color w:val="auto"/>
        </w:rPr>
        <w:t xml:space="preserve"> F </w:t>
      </w:r>
    </w:p>
    <w:p w:rsidR="00531079" w:rsidRPr="00E62499" w:rsidRDefault="00531079">
      <w:pPr>
        <w:pStyle w:val="Para"/>
        <w:widowControl/>
        <w:rPr>
          <w:rFonts w:cs="Verdana"/>
          <w:color w:val="auto"/>
        </w:rPr>
      </w:pPr>
      <w:r w:rsidRPr="00E62499">
        <w:rPr>
          <w:rFonts w:cs="Verdana"/>
          <w:i/>
          <w:iCs/>
          <w:color w:val="auto"/>
        </w:rPr>
        <w:t xml:space="preserve">Pratt v </w:t>
      </w:r>
      <w:proofErr w:type="spellStart"/>
      <w:r w:rsidRPr="00E62499">
        <w:rPr>
          <w:rFonts w:cs="Verdana"/>
          <w:i/>
          <w:iCs/>
          <w:color w:val="auto"/>
        </w:rPr>
        <w:t>Firstrand</w:t>
      </w:r>
      <w:proofErr w:type="spellEnd"/>
      <w:r w:rsidRPr="00E62499">
        <w:rPr>
          <w:rFonts w:cs="Verdana"/>
          <w:i/>
          <w:iCs/>
          <w:color w:val="auto"/>
        </w:rPr>
        <w:t xml:space="preserve"> Bank Ltd and Another</w:t>
      </w:r>
      <w:r w:rsidRPr="00E62499">
        <w:rPr>
          <w:rFonts w:cs="Verdana"/>
          <w:color w:val="auto"/>
        </w:rPr>
        <w:t xml:space="preserve"> [2004] 4 All SA 306 (T): referred to</w:t>
      </w:r>
    </w:p>
    <w:p w:rsidR="00531079" w:rsidRPr="00E62499" w:rsidRDefault="00531079">
      <w:pPr>
        <w:pStyle w:val="Para"/>
        <w:widowControl/>
        <w:rPr>
          <w:rFonts w:cs="Verdana"/>
          <w:color w:val="auto"/>
        </w:rPr>
      </w:pPr>
      <w:r w:rsidRPr="00E62499">
        <w:rPr>
          <w:rFonts w:cs="Verdana"/>
          <w:i/>
          <w:iCs/>
          <w:color w:val="auto"/>
        </w:rPr>
        <w:t xml:space="preserve">R v </w:t>
      </w:r>
      <w:proofErr w:type="spellStart"/>
      <w:r w:rsidRPr="00E62499">
        <w:rPr>
          <w:rFonts w:cs="Verdana"/>
          <w:i/>
          <w:iCs/>
          <w:color w:val="auto"/>
        </w:rPr>
        <w:t>Shoolman</w:t>
      </w:r>
      <w:proofErr w:type="spellEnd"/>
      <w:r w:rsidRPr="00E62499">
        <w:rPr>
          <w:rFonts w:cs="Verdana"/>
          <w:color w:val="auto"/>
        </w:rPr>
        <w:t xml:space="preserve"> 1937 CPD 183: referred to</w:t>
      </w:r>
    </w:p>
    <w:p w:rsidR="00531079" w:rsidRPr="00E62499" w:rsidRDefault="00531079">
      <w:pPr>
        <w:pStyle w:val="Para"/>
        <w:widowControl/>
        <w:rPr>
          <w:rFonts w:cs="Verdana"/>
          <w:color w:val="auto"/>
        </w:rPr>
      </w:pPr>
      <w:r w:rsidRPr="00E62499">
        <w:rPr>
          <w:rFonts w:cs="Verdana"/>
          <w:i/>
          <w:iCs/>
          <w:color w:val="auto"/>
        </w:rPr>
        <w:t xml:space="preserve">S v De </w:t>
      </w:r>
      <w:proofErr w:type="spellStart"/>
      <w:r w:rsidRPr="00E62499">
        <w:rPr>
          <w:rFonts w:cs="Verdana"/>
          <w:i/>
          <w:iCs/>
          <w:color w:val="auto"/>
        </w:rPr>
        <w:t>Blom</w:t>
      </w:r>
      <w:proofErr w:type="spellEnd"/>
      <w:r w:rsidRPr="00E62499">
        <w:rPr>
          <w:rFonts w:cs="Verdana"/>
          <w:color w:val="auto"/>
        </w:rPr>
        <w:t xml:space="preserve"> 1977 (3) SA 513 (A): referred to</w:t>
      </w:r>
    </w:p>
    <w:p w:rsidR="00531079" w:rsidRPr="00E62499" w:rsidRDefault="00531079">
      <w:pPr>
        <w:pStyle w:val="Para"/>
        <w:widowControl/>
        <w:rPr>
          <w:rFonts w:cs="Verdana"/>
          <w:color w:val="auto"/>
        </w:rPr>
      </w:pPr>
      <w:r w:rsidRPr="00E62499">
        <w:rPr>
          <w:rFonts w:cs="Verdana"/>
          <w:i/>
          <w:iCs/>
          <w:color w:val="auto"/>
        </w:rPr>
        <w:t xml:space="preserve">S v </w:t>
      </w:r>
      <w:proofErr w:type="spellStart"/>
      <w:r w:rsidRPr="00E62499">
        <w:rPr>
          <w:rFonts w:cs="Verdana"/>
          <w:i/>
          <w:iCs/>
          <w:color w:val="auto"/>
        </w:rPr>
        <w:t>Katsikaris</w:t>
      </w:r>
      <w:proofErr w:type="spellEnd"/>
      <w:r w:rsidRPr="00E62499">
        <w:rPr>
          <w:rFonts w:cs="Verdana"/>
          <w:color w:val="auto"/>
        </w:rPr>
        <w:t xml:space="preserve"> 1980 (3) SA 580 (A): referred to</w:t>
      </w:r>
    </w:p>
    <w:p w:rsidR="00531079" w:rsidRPr="00E62499" w:rsidRDefault="00531079">
      <w:pPr>
        <w:pStyle w:val="Para"/>
        <w:widowControl/>
        <w:rPr>
          <w:rStyle w:val="Mc"/>
          <w:color w:val="auto"/>
        </w:rPr>
      </w:pPr>
      <w:r w:rsidRPr="00E62499">
        <w:rPr>
          <w:rFonts w:cs="Verdana"/>
          <w:i/>
          <w:iCs/>
          <w:color w:val="auto"/>
        </w:rPr>
        <w:t>South African Forestry Co Ltd v York Timbers Ltd</w:t>
      </w:r>
      <w:r w:rsidRPr="00E62499">
        <w:rPr>
          <w:rFonts w:cs="Verdana"/>
          <w:color w:val="auto"/>
        </w:rPr>
        <w:t xml:space="preserve"> 2005 (3) SA 323 (SCA) ([2004] 4 All SA 168): referred to </w:t>
      </w:r>
      <w:r w:rsidRPr="00E62499">
        <w:rPr>
          <w:rStyle w:val="Mc"/>
          <w:color w:val="auto"/>
        </w:rPr>
        <w:t xml:space="preserve"> G </w:t>
      </w:r>
    </w:p>
    <w:p w:rsidR="00531079" w:rsidRPr="00E62499" w:rsidRDefault="00531079">
      <w:pPr>
        <w:pStyle w:val="Para"/>
        <w:widowControl/>
        <w:rPr>
          <w:rFonts w:cs="Verdana"/>
          <w:color w:val="auto"/>
        </w:rPr>
      </w:pPr>
      <w:r w:rsidRPr="00E62499">
        <w:rPr>
          <w:rFonts w:cs="Verdana"/>
          <w:i/>
          <w:iCs/>
          <w:color w:val="auto"/>
        </w:rPr>
        <w:t xml:space="preserve">South African Reserve Bank v </w:t>
      </w:r>
      <w:proofErr w:type="spellStart"/>
      <w:r w:rsidRPr="00E62499">
        <w:rPr>
          <w:rFonts w:cs="Verdana"/>
          <w:i/>
          <w:iCs/>
          <w:color w:val="auto"/>
        </w:rPr>
        <w:t>Khumalo</w:t>
      </w:r>
      <w:proofErr w:type="spellEnd"/>
      <w:r w:rsidRPr="00E62499">
        <w:rPr>
          <w:rFonts w:cs="Verdana"/>
          <w:i/>
          <w:iCs/>
          <w:color w:val="auto"/>
        </w:rPr>
        <w:t xml:space="preserve"> and Another</w:t>
      </w:r>
      <w:r w:rsidRPr="00E62499">
        <w:rPr>
          <w:rFonts w:cs="Verdana"/>
          <w:color w:val="auto"/>
        </w:rPr>
        <w:t xml:space="preserve"> 2010 (5) SA 449 (SCA) ([2011] 1 All SA 26): referred to</w:t>
      </w:r>
    </w:p>
    <w:p w:rsidR="00531079" w:rsidRPr="00E62499" w:rsidRDefault="00531079">
      <w:pPr>
        <w:pStyle w:val="Para"/>
        <w:widowControl/>
        <w:rPr>
          <w:rFonts w:cs="Verdana"/>
          <w:color w:val="auto"/>
        </w:rPr>
      </w:pPr>
      <w:r w:rsidRPr="00E62499">
        <w:rPr>
          <w:rFonts w:cs="Verdana"/>
          <w:i/>
          <w:iCs/>
          <w:color w:val="auto"/>
        </w:rPr>
        <w:t>South African Reserve Bank v Torwood Properties (Pty) Ltd</w:t>
      </w:r>
      <w:r w:rsidRPr="00E62499">
        <w:rPr>
          <w:rFonts w:cs="Verdana"/>
          <w:color w:val="auto"/>
        </w:rPr>
        <w:t xml:space="preserve"> 1997 (2) SA 169 (A): referred to</w:t>
      </w:r>
    </w:p>
    <w:p w:rsidR="00531079" w:rsidRPr="00E62499" w:rsidRDefault="00531079">
      <w:pPr>
        <w:pStyle w:val="Para"/>
        <w:widowControl/>
        <w:rPr>
          <w:rFonts w:cs="Verdana"/>
          <w:color w:val="auto"/>
        </w:rPr>
      </w:pPr>
      <w:r w:rsidRPr="00E62499">
        <w:rPr>
          <w:rFonts w:cs="Verdana"/>
          <w:i/>
          <w:iCs/>
          <w:color w:val="auto"/>
        </w:rPr>
        <w:t xml:space="preserve">Standard Bank v Estate van </w:t>
      </w:r>
      <w:proofErr w:type="spellStart"/>
      <w:r w:rsidRPr="00E62499">
        <w:rPr>
          <w:rFonts w:cs="Verdana"/>
          <w:i/>
          <w:iCs/>
          <w:color w:val="auto"/>
        </w:rPr>
        <w:t>Rhyn</w:t>
      </w:r>
      <w:proofErr w:type="spellEnd"/>
      <w:r w:rsidRPr="00E62499">
        <w:rPr>
          <w:rFonts w:cs="Verdana"/>
          <w:color w:val="auto"/>
        </w:rPr>
        <w:t xml:space="preserve"> 1925 AD 266: applied</w:t>
      </w:r>
    </w:p>
    <w:p w:rsidR="00AB08E4" w:rsidRDefault="00531079">
      <w:pPr>
        <w:pStyle w:val="Para"/>
        <w:widowControl/>
        <w:rPr>
          <w:rFonts w:cs="Verdana"/>
          <w:color w:val="auto"/>
        </w:rPr>
      </w:pPr>
      <w:r w:rsidRPr="00E62499">
        <w:rPr>
          <w:rFonts w:cs="Verdana"/>
          <w:i/>
          <w:iCs/>
          <w:color w:val="auto"/>
        </w:rPr>
        <w:t>Swart v Smuts</w:t>
      </w:r>
      <w:r w:rsidRPr="00E62499">
        <w:rPr>
          <w:rFonts w:cs="Verdana"/>
          <w:color w:val="auto"/>
        </w:rPr>
        <w:t xml:space="preserve"> 1971 (1) SA 819 (A): referred to.</w:t>
      </w:r>
    </w:p>
    <w:p w:rsidR="00531079" w:rsidRPr="00E62499" w:rsidRDefault="00531079">
      <w:pPr>
        <w:pStyle w:val="Para"/>
        <w:widowControl/>
        <w:rPr>
          <w:rStyle w:val="Mc"/>
          <w:color w:val="auto"/>
        </w:rPr>
      </w:pPr>
      <w:r w:rsidRPr="00E62499">
        <w:rPr>
          <w:rStyle w:val="Mc"/>
          <w:color w:val="auto"/>
        </w:rPr>
        <w:t xml:space="preserve"> H </w:t>
      </w:r>
    </w:p>
    <w:p w:rsidR="00531079" w:rsidRPr="00E62499" w:rsidRDefault="00531079">
      <w:pPr>
        <w:pStyle w:val="Para"/>
        <w:widowControl/>
        <w:rPr>
          <w:rFonts w:cs="Verdana"/>
          <w:color w:val="auto"/>
          <w:u w:val="single"/>
        </w:rPr>
      </w:pPr>
      <w:r w:rsidRPr="00E62499">
        <w:rPr>
          <w:rFonts w:cs="Verdana"/>
          <w:color w:val="auto"/>
          <w:u w:val="single"/>
        </w:rPr>
        <w:t>Australia</w:t>
      </w:r>
    </w:p>
    <w:p w:rsidR="00531079" w:rsidRPr="00E62499" w:rsidRDefault="00531079">
      <w:pPr>
        <w:pStyle w:val="Para"/>
        <w:widowControl/>
        <w:rPr>
          <w:rFonts w:cs="Verdana"/>
          <w:color w:val="auto"/>
        </w:rPr>
      </w:pPr>
      <w:r w:rsidRPr="00E62499">
        <w:rPr>
          <w:rFonts w:cs="Verdana"/>
          <w:i/>
          <w:iCs/>
          <w:color w:val="auto"/>
        </w:rPr>
        <w:t>Incorporated Interests Pty Ltd v The Federal Commissioner of Taxation</w:t>
      </w:r>
      <w:r w:rsidRPr="00E62499">
        <w:rPr>
          <w:rFonts w:cs="Verdana"/>
          <w:color w:val="auto"/>
        </w:rPr>
        <w:t xml:space="preserve"> (1943) 67 CLR 508: referred to.</w:t>
      </w:r>
    </w:p>
    <w:p w:rsidR="00AB08E4" w:rsidRDefault="00531079">
      <w:pPr>
        <w:pStyle w:val="Para"/>
        <w:widowControl/>
        <w:rPr>
          <w:rFonts w:cs="Verdana"/>
          <w:color w:val="auto"/>
        </w:rPr>
      </w:pPr>
      <w:r w:rsidRPr="00E62499">
        <w:rPr>
          <w:rFonts w:cs="Verdana"/>
          <w:color w:val="auto"/>
          <w:u w:val="single"/>
        </w:rPr>
        <w:t>England</w:t>
      </w:r>
    </w:p>
    <w:p w:rsidR="00531079" w:rsidRPr="00E62499" w:rsidRDefault="00531079">
      <w:pPr>
        <w:pStyle w:val="Para"/>
        <w:widowControl/>
        <w:rPr>
          <w:rStyle w:val="Mc"/>
          <w:color w:val="auto"/>
        </w:rPr>
      </w:pPr>
      <w:r w:rsidRPr="00E62499">
        <w:rPr>
          <w:rStyle w:val="Mc"/>
          <w:color w:val="auto"/>
        </w:rPr>
        <w:t xml:space="preserve"> I </w:t>
      </w:r>
    </w:p>
    <w:p w:rsidR="00531079" w:rsidRPr="00E62499" w:rsidRDefault="00531079">
      <w:pPr>
        <w:pStyle w:val="Para"/>
        <w:widowControl/>
        <w:rPr>
          <w:rFonts w:cs="Verdana"/>
          <w:color w:val="auto"/>
        </w:rPr>
      </w:pPr>
      <w:r w:rsidRPr="00E62499">
        <w:rPr>
          <w:rFonts w:cs="Verdana"/>
          <w:i/>
          <w:iCs/>
          <w:color w:val="auto"/>
        </w:rPr>
        <w:t>Lubbock v British Bank of South America</w:t>
      </w:r>
      <w:r w:rsidRPr="00E62499">
        <w:rPr>
          <w:rFonts w:cs="Verdana"/>
          <w:color w:val="auto"/>
        </w:rPr>
        <w:t xml:space="preserve"> [1892] 2 Ch 198 ([1891</w:t>
      </w:r>
      <w:r w:rsidR="00943A7F" w:rsidRPr="00E62499">
        <w:rPr>
          <w:rFonts w:cs="Verdana"/>
          <w:color w:val="auto"/>
        </w:rPr>
        <w:t>–</w:t>
      </w:r>
      <w:r w:rsidRPr="00E62499">
        <w:rPr>
          <w:rFonts w:cs="Verdana"/>
          <w:color w:val="auto"/>
        </w:rPr>
        <w:t>4] All ER Rep Ext 1753): referred to.</w:t>
      </w:r>
    </w:p>
    <w:p w:rsidR="00531079" w:rsidRPr="00E62499" w:rsidRDefault="00531079">
      <w:pPr>
        <w:pStyle w:val="Level-NormalBlue"/>
        <w:widowControl/>
        <w:rPr>
          <w:rFonts w:cs="Verdana"/>
          <w:color w:val="auto"/>
        </w:rPr>
      </w:pPr>
      <w:r w:rsidRPr="00E62499">
        <w:rPr>
          <w:rStyle w:val="Hidden-Grey-8"/>
          <w:b w:val="0"/>
          <w:bCs w:val="0"/>
          <w:color w:val="auto"/>
        </w:rPr>
        <w:t>[zSTz]</w:t>
      </w:r>
      <w:r w:rsidRPr="00E62499">
        <w:rPr>
          <w:rFonts w:cs="Verdana"/>
          <w:color w:val="auto"/>
        </w:rPr>
        <w:t>Statutes Considered</w:t>
      </w:r>
    </w:p>
    <w:p w:rsidR="00531079" w:rsidRPr="00E62499" w:rsidRDefault="00531079">
      <w:pPr>
        <w:pStyle w:val="Para"/>
        <w:widowControl/>
        <w:rPr>
          <w:rFonts w:cs="Verdana"/>
          <w:color w:val="auto"/>
          <w:u w:val="single"/>
        </w:rPr>
      </w:pPr>
      <w:r w:rsidRPr="00E62499">
        <w:rPr>
          <w:rFonts w:cs="Verdana"/>
          <w:color w:val="auto"/>
          <w:u w:val="single"/>
        </w:rPr>
        <w:t>Statutes</w:t>
      </w:r>
    </w:p>
    <w:p w:rsidR="00531079" w:rsidRPr="00E62499" w:rsidRDefault="00531079">
      <w:pPr>
        <w:pStyle w:val="Para"/>
        <w:widowControl/>
        <w:rPr>
          <w:rStyle w:val="Mc"/>
          <w:color w:val="auto"/>
        </w:rPr>
      </w:pPr>
      <w:r w:rsidRPr="00E62499">
        <w:rPr>
          <w:rFonts w:cs="Verdana"/>
          <w:color w:val="auto"/>
        </w:rPr>
        <w:t xml:space="preserve">The Currency and Exchanges Act 9 of 1933, s 9 and </w:t>
      </w:r>
      <w:proofErr w:type="spellStart"/>
      <w:r w:rsidRPr="00E62499">
        <w:rPr>
          <w:rFonts w:cs="Verdana"/>
          <w:color w:val="auto"/>
        </w:rPr>
        <w:t>reg</w:t>
      </w:r>
      <w:proofErr w:type="spellEnd"/>
      <w:r w:rsidRPr="00E62499">
        <w:rPr>
          <w:rFonts w:cs="Verdana"/>
          <w:color w:val="auto"/>
        </w:rPr>
        <w:t xml:space="preserve"> 10(1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 xml:space="preserve">: see </w:t>
      </w:r>
      <w:proofErr w:type="spellStart"/>
      <w:r w:rsidRPr="00E62499">
        <w:rPr>
          <w:rFonts w:cs="Verdana"/>
          <w:i/>
          <w:iCs/>
          <w:color w:val="auto"/>
        </w:rPr>
        <w:t>Juta</w:t>
      </w:r>
      <w:r w:rsidR="00EE3A39">
        <w:rPr>
          <w:rFonts w:cs="Verdana"/>
          <w:i/>
          <w:iCs/>
          <w:color w:val="auto"/>
        </w:rPr>
        <w:t>’</w:t>
      </w:r>
      <w:r w:rsidRPr="00E62499">
        <w:rPr>
          <w:rFonts w:cs="Verdana"/>
          <w:i/>
          <w:iCs/>
          <w:color w:val="auto"/>
        </w:rPr>
        <w:t>s</w:t>
      </w:r>
      <w:proofErr w:type="spellEnd"/>
      <w:r w:rsidRPr="00E62499">
        <w:rPr>
          <w:rFonts w:cs="Verdana"/>
          <w:i/>
          <w:iCs/>
          <w:color w:val="auto"/>
        </w:rPr>
        <w:t xml:space="preserve"> Statutes of South Africa 2009/10</w:t>
      </w:r>
      <w:r w:rsidRPr="00E62499">
        <w:rPr>
          <w:rFonts w:cs="Verdana"/>
          <w:color w:val="auto"/>
        </w:rPr>
        <w:t xml:space="preserve"> vol 2 at 1-6.</w:t>
      </w:r>
      <w:r w:rsidRPr="00E62499">
        <w:rPr>
          <w:rStyle w:val="Mc"/>
          <w:color w:val="auto"/>
        </w:rPr>
        <w:t xml:space="preserve"> J </w:t>
      </w:r>
    </w:p>
    <w:p w:rsidR="00531079" w:rsidRPr="00E62499" w:rsidRDefault="00531079" w:rsidP="00CD520F">
      <w:pPr>
        <w:pStyle w:val="Para"/>
        <w:widowControl/>
        <w:rPr>
          <w:rFonts w:cs="Verdana"/>
          <w:color w:val="auto"/>
        </w:rPr>
      </w:pPr>
    </w:p>
    <w:p w:rsidR="00531079" w:rsidRPr="00E62499" w:rsidRDefault="00531079">
      <w:pPr>
        <w:pStyle w:val="Level-NormalBlue"/>
        <w:widowControl/>
        <w:rPr>
          <w:rFonts w:cs="Verdana"/>
          <w:color w:val="auto"/>
        </w:rPr>
      </w:pPr>
      <w:r w:rsidRPr="00E62499">
        <w:rPr>
          <w:rStyle w:val="Hidden-Grey-8"/>
          <w:b w:val="0"/>
          <w:bCs w:val="0"/>
          <w:color w:val="auto"/>
        </w:rPr>
        <w:t>[zCIz]</w:t>
      </w:r>
      <w:r w:rsidRPr="00E62499">
        <w:rPr>
          <w:rFonts w:cs="Verdana"/>
          <w:color w:val="auto"/>
        </w:rPr>
        <w:t>Case Information</w:t>
      </w:r>
    </w:p>
    <w:p w:rsidR="00531079" w:rsidRPr="00E62499" w:rsidRDefault="00531079">
      <w:pPr>
        <w:pStyle w:val="Para"/>
        <w:widowControl/>
        <w:rPr>
          <w:rFonts w:cs="Verdana"/>
          <w:color w:val="auto"/>
        </w:rPr>
      </w:pPr>
      <w:r w:rsidRPr="00E62499">
        <w:rPr>
          <w:rStyle w:val="Mc"/>
          <w:color w:val="auto"/>
        </w:rPr>
        <w:t xml:space="preserve"> A </w:t>
      </w:r>
      <w:proofErr w:type="gramStart"/>
      <w:r w:rsidRPr="00E62499">
        <w:rPr>
          <w:rFonts w:cs="Verdana"/>
          <w:color w:val="auto"/>
        </w:rPr>
        <w:t>An appeal from the North Gauteng High Court, Pretoria (</w:t>
      </w:r>
      <w:proofErr w:type="spellStart"/>
      <w:r w:rsidRPr="00E62499">
        <w:rPr>
          <w:rFonts w:cs="Verdana"/>
          <w:color w:val="auto"/>
        </w:rPr>
        <w:t>Prinsloo</w:t>
      </w:r>
      <w:proofErr w:type="spellEnd"/>
      <w:r w:rsidRPr="00E62499">
        <w:rPr>
          <w:rFonts w:cs="Verdana"/>
          <w:color w:val="auto"/>
        </w:rPr>
        <w:t xml:space="preserve"> J).</w:t>
      </w:r>
      <w:proofErr w:type="gramEnd"/>
    </w:p>
    <w:p w:rsidR="00531079" w:rsidRPr="00E62499" w:rsidRDefault="00531079">
      <w:pPr>
        <w:pStyle w:val="Para"/>
        <w:widowControl/>
        <w:rPr>
          <w:rFonts w:cs="Verdana"/>
          <w:color w:val="auto"/>
        </w:rPr>
      </w:pPr>
      <w:r w:rsidRPr="00E62499">
        <w:rPr>
          <w:rFonts w:cs="Verdana"/>
          <w:i/>
          <w:iCs/>
          <w:color w:val="auto"/>
        </w:rPr>
        <w:lastRenderedPageBreak/>
        <w:t>EW Dunn SC</w:t>
      </w:r>
      <w:r w:rsidRPr="00E62499">
        <w:rPr>
          <w:rFonts w:cs="Verdana"/>
          <w:color w:val="auto"/>
        </w:rPr>
        <w:t xml:space="preserve"> (with </w:t>
      </w:r>
      <w:r w:rsidRPr="00E62499">
        <w:rPr>
          <w:rFonts w:cs="Verdana"/>
          <w:i/>
          <w:iCs/>
          <w:color w:val="auto"/>
        </w:rPr>
        <w:t>I Joubert</w:t>
      </w:r>
      <w:r w:rsidRPr="00E62499">
        <w:rPr>
          <w:rFonts w:cs="Verdana"/>
          <w:color w:val="auto"/>
        </w:rPr>
        <w:t>) for the appellant.</w:t>
      </w:r>
    </w:p>
    <w:p w:rsidR="00531079" w:rsidRPr="00E62499" w:rsidRDefault="00531079">
      <w:pPr>
        <w:pStyle w:val="Para"/>
        <w:widowControl/>
        <w:rPr>
          <w:rFonts w:cs="Verdana"/>
          <w:color w:val="auto"/>
        </w:rPr>
      </w:pPr>
      <w:proofErr w:type="gramStart"/>
      <w:r w:rsidRPr="00E62499">
        <w:rPr>
          <w:rFonts w:cs="Verdana"/>
          <w:i/>
          <w:iCs/>
          <w:color w:val="auto"/>
        </w:rPr>
        <w:t>P Ellis SC</w:t>
      </w:r>
      <w:r w:rsidRPr="00E62499">
        <w:rPr>
          <w:rFonts w:cs="Verdana"/>
          <w:color w:val="auto"/>
        </w:rPr>
        <w:t xml:space="preserve"> (with </w:t>
      </w:r>
      <w:r w:rsidRPr="00E62499">
        <w:rPr>
          <w:rFonts w:cs="Verdana"/>
          <w:i/>
          <w:iCs/>
          <w:color w:val="auto"/>
        </w:rPr>
        <w:t>AP Ellis</w:t>
      </w:r>
      <w:r w:rsidRPr="00E62499">
        <w:rPr>
          <w:rFonts w:cs="Verdana"/>
          <w:color w:val="auto"/>
        </w:rPr>
        <w:t>) for the first and second respondents.</w:t>
      </w:r>
      <w:proofErr w:type="gramEnd"/>
    </w:p>
    <w:p w:rsidR="00531079" w:rsidRPr="00E62499" w:rsidRDefault="00531079">
      <w:pPr>
        <w:pStyle w:val="Para"/>
        <w:widowControl/>
        <w:rPr>
          <w:rFonts w:cs="Verdana"/>
          <w:i/>
          <w:iCs/>
          <w:color w:val="auto"/>
        </w:rPr>
      </w:pPr>
      <w:proofErr w:type="gramStart"/>
      <w:r w:rsidRPr="00E62499">
        <w:rPr>
          <w:rFonts w:cs="Verdana"/>
          <w:i/>
          <w:iCs/>
          <w:color w:val="auto"/>
        </w:rPr>
        <w:t>Cur adv vult.</w:t>
      </w:r>
      <w:proofErr w:type="gramEnd"/>
    </w:p>
    <w:p w:rsidR="00531079" w:rsidRPr="00E62499" w:rsidRDefault="00531079">
      <w:pPr>
        <w:pStyle w:val="Para"/>
        <w:widowControl/>
        <w:rPr>
          <w:rFonts w:cs="Verdana"/>
          <w:color w:val="auto"/>
        </w:rPr>
      </w:pPr>
      <w:r w:rsidRPr="00E62499">
        <w:rPr>
          <w:rStyle w:val="Mc"/>
          <w:color w:val="auto"/>
        </w:rPr>
        <w:t xml:space="preserve"> B </w:t>
      </w:r>
      <w:proofErr w:type="spellStart"/>
      <w:r w:rsidRPr="00E62499">
        <w:rPr>
          <w:rFonts w:cs="Verdana"/>
          <w:i/>
          <w:iCs/>
          <w:color w:val="auto"/>
        </w:rPr>
        <w:t>Postea</w:t>
      </w:r>
      <w:proofErr w:type="spellEnd"/>
      <w:r w:rsidRPr="00E62499">
        <w:rPr>
          <w:rFonts w:cs="Verdana"/>
          <w:color w:val="auto"/>
        </w:rPr>
        <w:t xml:space="preserve"> (March 18).</w:t>
      </w:r>
    </w:p>
    <w:p w:rsidR="00531079" w:rsidRPr="00E62499" w:rsidRDefault="00531079">
      <w:pPr>
        <w:pStyle w:val="Para"/>
        <w:widowControl/>
        <w:rPr>
          <w:rFonts w:cs="Verdana"/>
          <w:color w:val="auto"/>
          <w:u w:val="single"/>
        </w:rPr>
      </w:pPr>
      <w:r w:rsidRPr="00E62499">
        <w:rPr>
          <w:rFonts w:cs="Verdana"/>
          <w:color w:val="auto"/>
          <w:u w:val="single"/>
        </w:rPr>
        <w:t>Order</w:t>
      </w:r>
    </w:p>
    <w:p w:rsidR="00531079" w:rsidRPr="00E62499" w:rsidRDefault="00531079">
      <w:pPr>
        <w:pStyle w:val="Para"/>
        <w:widowControl/>
        <w:rPr>
          <w:rFonts w:cs="Verdana"/>
          <w:color w:val="auto"/>
        </w:rPr>
      </w:pPr>
      <w:r w:rsidRPr="00E62499">
        <w:rPr>
          <w:rFonts w:cs="Verdana"/>
          <w:color w:val="auto"/>
        </w:rPr>
        <w:t xml:space="preserve">The appeal is dismissed with costs, including the costs of two </w:t>
      </w:r>
      <w:proofErr w:type="gramStart"/>
      <w:r w:rsidRPr="00E62499">
        <w:rPr>
          <w:rFonts w:cs="Verdana"/>
          <w:color w:val="auto"/>
        </w:rPr>
        <w:t>counsel</w:t>
      </w:r>
      <w:proofErr w:type="gramEnd"/>
      <w:r w:rsidRPr="00E62499">
        <w:rPr>
          <w:rFonts w:cs="Verdana"/>
          <w:color w:val="auto"/>
        </w:rPr>
        <w:t>.</w:t>
      </w:r>
    </w:p>
    <w:p w:rsidR="00531079" w:rsidRPr="00E62499" w:rsidRDefault="00531079">
      <w:pPr>
        <w:pStyle w:val="Level-NormalBlue"/>
        <w:widowControl/>
        <w:rPr>
          <w:rFonts w:cs="Verdana"/>
          <w:color w:val="auto"/>
        </w:rPr>
      </w:pPr>
      <w:r w:rsidRPr="00E62499">
        <w:rPr>
          <w:rStyle w:val="Hidden-Grey-8"/>
          <w:b w:val="0"/>
          <w:bCs w:val="0"/>
          <w:color w:val="auto"/>
        </w:rPr>
        <w:t>[zJDz]</w:t>
      </w:r>
      <w:r w:rsidRPr="00E62499">
        <w:rPr>
          <w:rFonts w:cs="Verdana"/>
          <w:color w:val="auto"/>
        </w:rPr>
        <w:t>Judgment</w:t>
      </w:r>
    </w:p>
    <w:p w:rsidR="00531079" w:rsidRPr="00E62499" w:rsidRDefault="00531079">
      <w:pPr>
        <w:pStyle w:val="Para"/>
        <w:widowControl/>
        <w:rPr>
          <w:rFonts w:cs="Verdana"/>
          <w:b/>
          <w:bCs/>
          <w:color w:val="auto"/>
        </w:rPr>
      </w:pPr>
      <w:r w:rsidRPr="00E62499">
        <w:rPr>
          <w:rStyle w:val="Mc"/>
          <w:color w:val="auto"/>
        </w:rPr>
        <w:t xml:space="preserve"> C </w:t>
      </w:r>
      <w:r w:rsidRPr="00E62499">
        <w:rPr>
          <w:rFonts w:cs="Verdana"/>
          <w:b/>
          <w:bCs/>
          <w:color w:val="auto"/>
        </w:rPr>
        <w:t xml:space="preserve">Harms DP (Lewis JA, </w:t>
      </w:r>
      <w:proofErr w:type="spellStart"/>
      <w:r w:rsidRPr="00E62499">
        <w:rPr>
          <w:rFonts w:cs="Verdana"/>
          <w:b/>
          <w:bCs/>
          <w:color w:val="auto"/>
        </w:rPr>
        <w:t>Ponnan</w:t>
      </w:r>
      <w:proofErr w:type="spellEnd"/>
      <w:r w:rsidRPr="00E62499">
        <w:rPr>
          <w:rFonts w:cs="Verdana"/>
          <w:b/>
          <w:bCs/>
          <w:color w:val="auto"/>
        </w:rPr>
        <w:t xml:space="preserve"> JA, Malan JA and </w:t>
      </w:r>
      <w:proofErr w:type="spellStart"/>
      <w:r w:rsidRPr="00E62499">
        <w:rPr>
          <w:rFonts w:cs="Verdana"/>
          <w:b/>
          <w:bCs/>
          <w:color w:val="auto"/>
        </w:rPr>
        <w:t>Theron</w:t>
      </w:r>
      <w:proofErr w:type="spellEnd"/>
      <w:r w:rsidRPr="00E62499">
        <w:rPr>
          <w:rFonts w:cs="Verdana"/>
          <w:b/>
          <w:bCs/>
          <w:color w:val="auto"/>
        </w:rPr>
        <w:t xml:space="preserve"> JA concurring):</w:t>
      </w:r>
    </w:p>
    <w:p w:rsidR="00531079" w:rsidRPr="00E62499" w:rsidRDefault="00531079" w:rsidP="00E714C5">
      <w:pPr>
        <w:pStyle w:val="Para"/>
        <w:widowControl/>
        <w:jc w:val="both"/>
        <w:rPr>
          <w:rFonts w:cs="Verdana"/>
          <w:color w:val="auto"/>
        </w:rPr>
      </w:pPr>
      <w:r w:rsidRPr="00E62499">
        <w:rPr>
          <w:rFonts w:cs="Verdana"/>
          <w:color w:val="auto"/>
        </w:rPr>
        <w:t xml:space="preserve">[1] The trademark </w:t>
      </w:r>
      <w:r w:rsidR="00EE3A39">
        <w:rPr>
          <w:rFonts w:cs="Verdana"/>
          <w:color w:val="auto"/>
        </w:rPr>
        <w:t>‘</w:t>
      </w:r>
      <w:proofErr w:type="spellStart"/>
      <w:r w:rsidRPr="00E62499">
        <w:rPr>
          <w:rFonts w:cs="Verdana"/>
          <w:color w:val="auto"/>
        </w:rPr>
        <w:t>Protec</w:t>
      </w:r>
      <w:proofErr w:type="spellEnd"/>
      <w:r w:rsidR="00EE3A39">
        <w:rPr>
          <w:rFonts w:cs="Verdana"/>
          <w:color w:val="auto"/>
        </w:rPr>
        <w:t>’</w:t>
      </w:r>
      <w:r w:rsidRPr="00E62499">
        <w:rPr>
          <w:rFonts w:cs="Verdana"/>
          <w:color w:val="auto"/>
        </w:rPr>
        <w:t xml:space="preserve"> (sometimes with a device) is registered in many countries but this judgment is concerned only with the South African registration (1987/10291). This word mark is presently </w:t>
      </w:r>
      <w:r w:rsidRPr="00E62499">
        <w:rPr>
          <w:rStyle w:val="Mc"/>
          <w:color w:val="auto"/>
        </w:rPr>
        <w:t xml:space="preserve"> D </w:t>
      </w:r>
      <w:r w:rsidRPr="00E62499">
        <w:rPr>
          <w:rFonts w:cs="Verdana"/>
          <w:color w:val="auto"/>
        </w:rPr>
        <w:t xml:space="preserve">registered in the name of the second respondent, </w:t>
      </w:r>
      <w:proofErr w:type="spellStart"/>
      <w:r w:rsidRPr="00E62499">
        <w:rPr>
          <w:rFonts w:cs="Verdana"/>
          <w:color w:val="auto"/>
        </w:rPr>
        <w:t>Protec</w:t>
      </w:r>
      <w:proofErr w:type="spellEnd"/>
      <w:r w:rsidRPr="00E62499">
        <w:rPr>
          <w:rFonts w:cs="Verdana"/>
          <w:color w:val="auto"/>
        </w:rPr>
        <w:t xml:space="preserve"> Auto Care Ltd (Auto Care), a company incorporated in the United Kingdom. The appellant, Oilwell (Pty) Ltd (Oilwell), is a local company and seeks an order for the rectification of the trademark register to reflect Oilwell instead of Auto Care as proprietor. Oilwell relies on s 24(1) of the Trade Marks Act 194 of 1993, </w:t>
      </w:r>
      <w:r w:rsidRPr="00E62499">
        <w:rPr>
          <w:rStyle w:val="Mc"/>
          <w:color w:val="auto"/>
        </w:rPr>
        <w:t xml:space="preserve"> E </w:t>
      </w:r>
      <w:r w:rsidRPr="00E62499">
        <w:rPr>
          <w:rFonts w:cs="Verdana"/>
          <w:color w:val="auto"/>
        </w:rPr>
        <w:t>which, in brief, provides that, in the event of an entry wrongly made in the register, or of any error in any entry in the register, any interested person may apply to court for the desired relief, which would include rectification.</w:t>
      </w:r>
    </w:p>
    <w:p w:rsidR="00531079" w:rsidRPr="00E62499" w:rsidRDefault="00531079" w:rsidP="00E714C5">
      <w:pPr>
        <w:pStyle w:val="Para"/>
        <w:widowControl/>
        <w:jc w:val="both"/>
        <w:rPr>
          <w:rFonts w:cs="Verdana"/>
          <w:color w:val="auto"/>
        </w:rPr>
      </w:pPr>
      <w:r w:rsidRPr="00E62499">
        <w:rPr>
          <w:rFonts w:cs="Verdana"/>
          <w:color w:val="auto"/>
        </w:rPr>
        <w:t xml:space="preserve">[2] Oilwell wishes in effect to reverse an assignment of the trademark, </w:t>
      </w:r>
      <w:r w:rsidRPr="00E62499">
        <w:rPr>
          <w:rStyle w:val="Mc"/>
          <w:color w:val="auto"/>
        </w:rPr>
        <w:t xml:space="preserve"> F </w:t>
      </w:r>
      <w:r w:rsidRPr="00E62499">
        <w:rPr>
          <w:rFonts w:cs="Verdana"/>
          <w:color w:val="auto"/>
        </w:rPr>
        <w:t xml:space="preserve">which took place during 1998, when, in terms of a comprehensive agreement between many parties, this trademark, as well as the foreign </w:t>
      </w:r>
      <w:proofErr w:type="spellStart"/>
      <w:r w:rsidRPr="00E62499">
        <w:rPr>
          <w:rFonts w:cs="Verdana"/>
          <w:color w:val="auto"/>
        </w:rPr>
        <w:t>Protec</w:t>
      </w:r>
      <w:proofErr w:type="spellEnd"/>
      <w:r w:rsidRPr="00E62499">
        <w:rPr>
          <w:rFonts w:cs="Verdana"/>
          <w:color w:val="auto"/>
        </w:rPr>
        <w:t xml:space="preserve"> marks and pending trademark applications, were assigned to the first respondent, </w:t>
      </w:r>
      <w:proofErr w:type="spellStart"/>
      <w:r w:rsidRPr="00E62499">
        <w:rPr>
          <w:rFonts w:cs="Verdana"/>
          <w:color w:val="auto"/>
        </w:rPr>
        <w:t>Protec</w:t>
      </w:r>
      <w:proofErr w:type="spellEnd"/>
      <w:r w:rsidRPr="00E62499">
        <w:rPr>
          <w:rFonts w:cs="Verdana"/>
          <w:color w:val="auto"/>
        </w:rPr>
        <w:t xml:space="preserve"> International Ltd (International).</w:t>
      </w:r>
    </w:p>
    <w:p w:rsidR="00531079" w:rsidRPr="00E62499" w:rsidRDefault="00531079" w:rsidP="00E714C5">
      <w:pPr>
        <w:pStyle w:val="Para"/>
        <w:widowControl/>
        <w:jc w:val="both"/>
        <w:rPr>
          <w:rFonts w:cs="Verdana"/>
          <w:color w:val="auto"/>
        </w:rPr>
      </w:pPr>
      <w:r w:rsidRPr="00E62499">
        <w:rPr>
          <w:rFonts w:cs="Verdana"/>
          <w:color w:val="auto"/>
        </w:rPr>
        <w:t xml:space="preserve">[3] During the intervening years relations between the parties (or some </w:t>
      </w:r>
      <w:r w:rsidRPr="00E62499">
        <w:rPr>
          <w:rStyle w:val="Mc"/>
          <w:color w:val="auto"/>
        </w:rPr>
        <w:t xml:space="preserve"> G </w:t>
      </w:r>
      <w:r w:rsidRPr="00E62499">
        <w:rPr>
          <w:rFonts w:cs="Verdana"/>
          <w:color w:val="auto"/>
        </w:rPr>
        <w:t xml:space="preserve">of them) soured. Oilwell and some associates refused to respect the rights of International and a number of orders were made against them in the USA relating to trademark infringement and contempt of court. Locally there is a final order granted during 2002 against Oilwell, interdicting it from infringing the trademark. On the other hand, </w:t>
      </w:r>
      <w:r w:rsidRPr="00E62499">
        <w:rPr>
          <w:rStyle w:val="Mc"/>
          <w:color w:val="auto"/>
        </w:rPr>
        <w:t xml:space="preserve"> H </w:t>
      </w:r>
      <w:r w:rsidRPr="00E62499">
        <w:rPr>
          <w:rFonts w:cs="Verdana"/>
          <w:color w:val="auto"/>
        </w:rPr>
        <w:t xml:space="preserve"> International ran into financial difficulties and, as part of what appears to be a </w:t>
      </w:r>
      <w:proofErr w:type="gramStart"/>
      <w:r w:rsidRPr="00E62499">
        <w:rPr>
          <w:rFonts w:cs="Verdana"/>
          <w:color w:val="auto"/>
        </w:rPr>
        <w:t>settlement,</w:t>
      </w:r>
      <w:proofErr w:type="gramEnd"/>
      <w:r w:rsidRPr="00E62499">
        <w:rPr>
          <w:rFonts w:cs="Verdana"/>
          <w:color w:val="auto"/>
        </w:rPr>
        <w:t xml:space="preserve"> the South African trademark was assigned to Auto Care during 2007.</w:t>
      </w:r>
    </w:p>
    <w:p w:rsidR="00531079" w:rsidRPr="00E62499" w:rsidRDefault="00531079" w:rsidP="00E714C5">
      <w:pPr>
        <w:pStyle w:val="Para"/>
        <w:widowControl/>
        <w:jc w:val="both"/>
        <w:rPr>
          <w:rStyle w:val="FNoteRef"/>
          <w:color w:val="auto"/>
        </w:rPr>
      </w:pPr>
      <w:r w:rsidRPr="00E62499">
        <w:rPr>
          <w:rFonts w:cs="Verdana"/>
          <w:color w:val="auto"/>
        </w:rPr>
        <w:t xml:space="preserve">[4] Oilwell discovered a judgment of </w:t>
      </w:r>
      <w:proofErr w:type="spellStart"/>
      <w:r w:rsidRPr="00E62499">
        <w:rPr>
          <w:rFonts w:cs="Verdana"/>
          <w:color w:val="auto"/>
        </w:rPr>
        <w:t>Jajbhay</w:t>
      </w:r>
      <w:proofErr w:type="spellEnd"/>
      <w:r w:rsidRPr="00E62499">
        <w:rPr>
          <w:rFonts w:cs="Verdana"/>
          <w:color w:val="auto"/>
        </w:rPr>
        <w:t xml:space="preserve"> AJ in </w:t>
      </w:r>
      <w:proofErr w:type="spellStart"/>
      <w:r w:rsidRPr="00E62499">
        <w:rPr>
          <w:rFonts w:cs="Verdana"/>
          <w:i/>
          <w:iCs/>
          <w:color w:val="auto"/>
        </w:rPr>
        <w:t>Couve</w:t>
      </w:r>
      <w:proofErr w:type="spellEnd"/>
      <w:r w:rsidRPr="00E62499">
        <w:rPr>
          <w:rFonts w:cs="Verdana"/>
          <w:i/>
          <w:iCs/>
          <w:color w:val="auto"/>
        </w:rPr>
        <w:t xml:space="preserve"> and Another v </w:t>
      </w:r>
      <w:proofErr w:type="spellStart"/>
      <w:r w:rsidRPr="00E62499">
        <w:rPr>
          <w:rFonts w:cs="Verdana"/>
          <w:i/>
          <w:iCs/>
          <w:color w:val="auto"/>
        </w:rPr>
        <w:t>Reddot</w:t>
      </w:r>
      <w:proofErr w:type="spellEnd"/>
      <w:r w:rsidRPr="00E62499">
        <w:rPr>
          <w:rFonts w:cs="Verdana"/>
          <w:i/>
          <w:iCs/>
          <w:color w:val="auto"/>
        </w:rPr>
        <w:t xml:space="preserve"> International (Pty) Ltd and Others</w:t>
      </w:r>
      <w:r w:rsidRPr="00E62499">
        <w:rPr>
          <w:rFonts w:cs="Verdana"/>
          <w:color w:val="auto"/>
        </w:rPr>
        <w:t xml:space="preserve"> 2004 (6) SA 425 (W). The </w:t>
      </w:r>
      <w:r w:rsidRPr="00E62499">
        <w:rPr>
          <w:rStyle w:val="Mc"/>
          <w:color w:val="auto"/>
        </w:rPr>
        <w:t xml:space="preserve"> I </w:t>
      </w:r>
      <w:r w:rsidRPr="00E62499">
        <w:rPr>
          <w:rFonts w:cs="Verdana"/>
          <w:color w:val="auto"/>
        </w:rPr>
        <w:t xml:space="preserve">judgment concerned, inter alia, the validity of an agreement to assign rights to patent applications by a South African entity to a foreign company, which was entered into without the prior consent of the SA Reserve Bank, the agent of the Treasury. </w:t>
      </w:r>
      <w:proofErr w:type="spellStart"/>
      <w:r w:rsidRPr="00E62499">
        <w:rPr>
          <w:rFonts w:cs="Verdana"/>
          <w:i/>
          <w:iCs/>
          <w:color w:val="auto"/>
        </w:rPr>
        <w:t>Couve</w:t>
      </w:r>
      <w:proofErr w:type="spellEnd"/>
      <w:r w:rsidRPr="00E62499">
        <w:rPr>
          <w:rFonts w:cs="Verdana"/>
          <w:color w:val="auto"/>
        </w:rPr>
        <w:t xml:space="preserve"> held that within the meaning of reg 10(1)</w:t>
      </w:r>
      <w:r w:rsidRPr="00E62499">
        <w:rPr>
          <w:rFonts w:cs="Verdana"/>
          <w:i/>
          <w:iCs/>
          <w:color w:val="auto"/>
        </w:rPr>
        <w:t>(c)</w:t>
      </w:r>
      <w:r w:rsidRPr="00E62499">
        <w:rPr>
          <w:rFonts w:cs="Verdana"/>
          <w:color w:val="auto"/>
        </w:rPr>
        <w:t xml:space="preserve"> of the Exchange Control Regulations a patent application and, a fortiori, a patent are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and that such an </w:t>
      </w:r>
      <w:r w:rsidRPr="00E62499">
        <w:rPr>
          <w:rStyle w:val="Mc"/>
          <w:color w:val="auto"/>
        </w:rPr>
        <w:t xml:space="preserve"> J </w:t>
      </w:r>
      <w:r w:rsidRPr="00E62499">
        <w:rPr>
          <w:rFonts w:cs="Verdana"/>
          <w:color w:val="auto"/>
        </w:rPr>
        <w:t xml:space="preserve"> assignment amounts to the </w:t>
      </w:r>
      <w:r w:rsidR="00EE3A39">
        <w:rPr>
          <w:rFonts w:cs="Verdana"/>
          <w:color w:val="auto"/>
        </w:rPr>
        <w:t>‘</w:t>
      </w:r>
      <w:r w:rsidRPr="00E62499">
        <w:rPr>
          <w:rFonts w:cs="Verdana"/>
          <w:color w:val="auto"/>
        </w:rPr>
        <w:t>export</w:t>
      </w:r>
      <w:r w:rsidR="00EE3A39">
        <w:rPr>
          <w:rFonts w:cs="Verdana"/>
          <w:color w:val="auto"/>
        </w:rPr>
        <w:t>’</w:t>
      </w:r>
      <w:r w:rsidRPr="00E62499">
        <w:rPr>
          <w:rFonts w:cs="Verdana"/>
          <w:color w:val="auto"/>
        </w:rPr>
        <w:t xml:space="preserve"> of capital. The regulation provides</w:t>
      </w:r>
      <w:r w:rsidR="00BD2409" w:rsidRPr="00E62499">
        <w:rPr>
          <w:rFonts w:cs="Verdana"/>
          <w:color w:val="auto"/>
        </w:rPr>
        <w:t xml:space="preserve"> </w:t>
      </w:r>
      <w:r w:rsidRPr="00E62499">
        <w:rPr>
          <w:rFonts w:cs="Verdana"/>
          <w:color w:val="auto"/>
        </w:rPr>
        <w:t xml:space="preserve">that </w:t>
      </w:r>
      <w:r w:rsidR="00EE3A39">
        <w:rPr>
          <w:rFonts w:cs="Verdana"/>
          <w:color w:val="auto"/>
        </w:rPr>
        <w:t>‘</w:t>
      </w:r>
      <w:r w:rsidRPr="00E62499">
        <w:rPr>
          <w:rFonts w:cs="Verdana"/>
          <w:color w:val="auto"/>
        </w:rPr>
        <w:t xml:space="preserve">no person shall, except with permission granted by the Treasury and in accordance with such conditions as the Treasury </w:t>
      </w:r>
      <w:r w:rsidRPr="00E62499">
        <w:rPr>
          <w:rStyle w:val="Mc"/>
          <w:color w:val="auto"/>
        </w:rPr>
        <w:t xml:space="preserve"> A </w:t>
      </w:r>
      <w:r w:rsidRPr="00E62499">
        <w:rPr>
          <w:rFonts w:cs="Verdana"/>
          <w:color w:val="auto"/>
        </w:rPr>
        <w:t xml:space="preserve"> may impose . . . enter into any transaction whereby capital or any right to capital is directly or indirectly exported from the Republic</w:t>
      </w:r>
      <w:r w:rsidR="00EE3A39">
        <w:rPr>
          <w:rFonts w:cs="Verdana"/>
          <w:color w:val="auto"/>
        </w:rPr>
        <w:t>’</w:t>
      </w:r>
      <w:r w:rsidRPr="00E62499">
        <w:rPr>
          <w:rFonts w:cs="Verdana"/>
          <w:color w:val="auto"/>
        </w:rPr>
        <w:t>.</w:t>
      </w:r>
      <w:bookmarkStart w:id="1" w:name="20114394fn1_Ref"/>
      <w:bookmarkEnd w:id="1"/>
      <w:r w:rsidR="009D3DAB">
        <w:rPr>
          <w:rStyle w:val="EndnoteReference"/>
          <w:rFonts w:cs="Verdana"/>
          <w:color w:val="auto"/>
        </w:rPr>
        <w:endnoteReference w:id="1"/>
      </w:r>
    </w:p>
    <w:p w:rsidR="00531079" w:rsidRPr="00E62499" w:rsidRDefault="00531079" w:rsidP="00E714C5">
      <w:pPr>
        <w:pStyle w:val="Para"/>
        <w:widowControl/>
        <w:jc w:val="both"/>
        <w:rPr>
          <w:rFonts w:cs="Verdana"/>
          <w:color w:val="auto"/>
        </w:rPr>
      </w:pPr>
      <w:r w:rsidRPr="00E62499">
        <w:rPr>
          <w:rFonts w:cs="Verdana"/>
          <w:color w:val="auto"/>
        </w:rPr>
        <w:t xml:space="preserve">[5] Relying on this judgment and the fact that International was </w:t>
      </w:r>
      <w:r w:rsidRPr="00E62499">
        <w:rPr>
          <w:rStyle w:val="Mc"/>
          <w:color w:val="auto"/>
        </w:rPr>
        <w:t xml:space="preserve"> B </w:t>
      </w:r>
      <w:r w:rsidRPr="00E62499">
        <w:rPr>
          <w:rFonts w:cs="Verdana"/>
          <w:color w:val="auto"/>
        </w:rPr>
        <w:t xml:space="preserve"> registered in Guernsey, Oilwell applied during September 2008 to the North Gauteng High Court for the relief mentioned. </w:t>
      </w:r>
      <w:proofErr w:type="spellStart"/>
      <w:r w:rsidRPr="00E62499">
        <w:rPr>
          <w:rFonts w:cs="Verdana"/>
          <w:color w:val="auto"/>
        </w:rPr>
        <w:t>Prinsloo</w:t>
      </w:r>
      <w:proofErr w:type="spellEnd"/>
      <w:r w:rsidRPr="00E62499">
        <w:rPr>
          <w:rFonts w:cs="Verdana"/>
          <w:color w:val="auto"/>
        </w:rPr>
        <w:t xml:space="preserve"> J, who heard the case, came to the conclusion that </w:t>
      </w:r>
      <w:proofErr w:type="spellStart"/>
      <w:r w:rsidRPr="00E62499">
        <w:rPr>
          <w:rFonts w:cs="Verdana"/>
          <w:i/>
          <w:iCs/>
          <w:color w:val="auto"/>
        </w:rPr>
        <w:t>Couve</w:t>
      </w:r>
      <w:proofErr w:type="spellEnd"/>
      <w:r w:rsidRPr="00E62499">
        <w:rPr>
          <w:rFonts w:cs="Verdana"/>
          <w:color w:val="auto"/>
        </w:rPr>
        <w:t xml:space="preserve"> was wrongly decided, principally because intellectual property rights are not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within the meaning </w:t>
      </w:r>
      <w:r w:rsidRPr="00E62499">
        <w:rPr>
          <w:rFonts w:cs="Verdana"/>
          <w:color w:val="auto"/>
        </w:rPr>
        <w:lastRenderedPageBreak/>
        <w:t>of the term as used in the regulation, and he dismissed the application with costs. He subsequently granted the necessary leave to</w:t>
      </w:r>
      <w:r w:rsidRPr="00E62499">
        <w:rPr>
          <w:rStyle w:val="Mc"/>
          <w:color w:val="auto"/>
        </w:rPr>
        <w:t xml:space="preserve"> C </w:t>
      </w:r>
      <w:r w:rsidR="00AB08E4">
        <w:rPr>
          <w:rFonts w:cs="Verdana"/>
          <w:color w:val="auto"/>
        </w:rPr>
        <w:t xml:space="preserve"> </w:t>
      </w:r>
      <w:r w:rsidRPr="00E62499">
        <w:rPr>
          <w:rFonts w:cs="Verdana"/>
          <w:color w:val="auto"/>
        </w:rPr>
        <w:t>appeal to this court.</w:t>
      </w:r>
    </w:p>
    <w:p w:rsidR="00531079" w:rsidRPr="00E62499" w:rsidRDefault="00531079" w:rsidP="00E714C5">
      <w:pPr>
        <w:pStyle w:val="Para"/>
        <w:widowControl/>
        <w:jc w:val="both"/>
        <w:rPr>
          <w:rStyle w:val="Mc"/>
          <w:color w:val="auto"/>
        </w:rPr>
      </w:pPr>
      <w:r w:rsidRPr="00E62499">
        <w:rPr>
          <w:rFonts w:cs="Verdana"/>
          <w:color w:val="auto"/>
        </w:rPr>
        <w:t>[6] Two main issues crystallised as the case unfolded. The first is whether the transaction was covered by reg 10(1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 xml:space="preserve"> and the second concerns the effect of non-compliance with the provision. The third, </w:t>
      </w:r>
      <w:r w:rsidRPr="00E62499">
        <w:rPr>
          <w:rStyle w:val="Mc"/>
          <w:color w:val="auto"/>
        </w:rPr>
        <w:t xml:space="preserve"> D </w:t>
      </w:r>
      <w:r w:rsidRPr="00E62499">
        <w:rPr>
          <w:rFonts w:cs="Verdana"/>
          <w:color w:val="auto"/>
        </w:rPr>
        <w:t xml:space="preserve"> prescription, does not arise in the light of what follows. But before these issues are addressed in any detail, it is necessary to refer to the empowering Currency and Exchanges Act 9 of 1933, which was adopted during the Great Depression. Its title, referring to currency and exchanges, gives a general idea of the scope of the Act, as does the long </w:t>
      </w:r>
      <w:r w:rsidRPr="00E62499">
        <w:rPr>
          <w:rStyle w:val="Mc"/>
          <w:color w:val="auto"/>
        </w:rPr>
        <w:t xml:space="preserve"> E </w:t>
      </w:r>
      <w:r w:rsidRPr="00E62499">
        <w:rPr>
          <w:rFonts w:cs="Verdana"/>
          <w:color w:val="auto"/>
        </w:rPr>
        <w:t xml:space="preserve"> title: </w:t>
      </w:r>
      <w:r w:rsidR="00EE3A39">
        <w:rPr>
          <w:rFonts w:cs="Verdana"/>
          <w:color w:val="auto"/>
        </w:rPr>
        <w:t>‘</w:t>
      </w:r>
      <w:r w:rsidRPr="00E62499">
        <w:rPr>
          <w:rFonts w:cs="Verdana"/>
          <w:color w:val="auto"/>
        </w:rPr>
        <w:t>To amend the law relating to legal tender, currency, exchanges and banking.</w:t>
      </w:r>
      <w:r w:rsidR="00EE3A39">
        <w:rPr>
          <w:rFonts w:cs="Verdana"/>
          <w:color w:val="auto"/>
        </w:rPr>
        <w:t>’</w:t>
      </w:r>
      <w:r w:rsidRPr="00E62499">
        <w:rPr>
          <w:rFonts w:cs="Verdana"/>
          <w:color w:val="auto"/>
        </w:rPr>
        <w:t xml:space="preserve"> The term </w:t>
      </w:r>
      <w:r w:rsidR="00EE3A39">
        <w:rPr>
          <w:rFonts w:cs="Verdana"/>
          <w:color w:val="auto"/>
        </w:rPr>
        <w:t>‘</w:t>
      </w:r>
      <w:r w:rsidRPr="00E62499">
        <w:rPr>
          <w:rFonts w:cs="Verdana"/>
          <w:color w:val="auto"/>
        </w:rPr>
        <w:t>exchanges</w:t>
      </w:r>
      <w:r w:rsidR="00EE3A39">
        <w:rPr>
          <w:rFonts w:cs="Verdana"/>
          <w:color w:val="auto"/>
        </w:rPr>
        <w:t>’</w:t>
      </w:r>
      <w:r w:rsidRPr="00E62499">
        <w:rPr>
          <w:rFonts w:cs="Verdana"/>
          <w:color w:val="auto"/>
        </w:rPr>
        <w:t xml:space="preserve"> refers to what is better known as </w:t>
      </w:r>
      <w:r w:rsidR="00EE3A39">
        <w:rPr>
          <w:rFonts w:cs="Verdana"/>
          <w:color w:val="auto"/>
        </w:rPr>
        <w:t>‘</w:t>
      </w:r>
      <w:r w:rsidRPr="00E62499">
        <w:rPr>
          <w:rFonts w:cs="Verdana"/>
          <w:color w:val="auto"/>
        </w:rPr>
        <w:t>exchange rates</w:t>
      </w:r>
      <w:r w:rsidR="00EE3A39">
        <w:rPr>
          <w:rFonts w:cs="Verdana"/>
          <w:color w:val="auto"/>
        </w:rPr>
        <w:t>’</w:t>
      </w:r>
      <w:r w:rsidRPr="00E62499">
        <w:rPr>
          <w:rFonts w:cs="Verdana"/>
          <w:color w:val="auto"/>
        </w:rPr>
        <w:t xml:space="preserve">. This appears from the Afrikaans text which speaks of </w:t>
      </w:r>
      <w:r w:rsidR="00EE3A39">
        <w:rPr>
          <w:rFonts w:cs="Verdana"/>
          <w:color w:val="auto"/>
        </w:rPr>
        <w:t>‘</w:t>
      </w:r>
      <w:proofErr w:type="spellStart"/>
      <w:r w:rsidRPr="00E62499">
        <w:rPr>
          <w:rFonts w:cs="Verdana"/>
          <w:color w:val="auto"/>
        </w:rPr>
        <w:t>wisselkoerse</w:t>
      </w:r>
      <w:proofErr w:type="spellEnd"/>
      <w:r w:rsidR="00EE3A39">
        <w:rPr>
          <w:rFonts w:cs="Verdana"/>
          <w:color w:val="auto"/>
        </w:rPr>
        <w:t>’</w:t>
      </w:r>
      <w:r w:rsidRPr="00E62499">
        <w:rPr>
          <w:rFonts w:cs="Verdana"/>
          <w:color w:val="auto"/>
        </w:rPr>
        <w:t xml:space="preserve">. Much of the Act has been repealed, but the important s 9 remains. It empowers the head of State to make regulations </w:t>
      </w:r>
      <w:r w:rsidR="00EE3A39">
        <w:rPr>
          <w:rFonts w:cs="Verdana"/>
          <w:color w:val="auto"/>
        </w:rPr>
        <w:t>‘</w:t>
      </w:r>
      <w:r w:rsidRPr="00E62499">
        <w:rPr>
          <w:rFonts w:cs="Verdana"/>
          <w:color w:val="auto"/>
        </w:rPr>
        <w:t>in regard to any matter directly or indirectly relating to or affecting or having any</w:t>
      </w:r>
      <w:r w:rsidR="00CC59E6" w:rsidRPr="00E62499">
        <w:rPr>
          <w:rFonts w:cs="Verdana"/>
          <w:color w:val="auto"/>
        </w:rPr>
        <w:t xml:space="preserve"> bearing upon </w:t>
      </w:r>
      <w:r w:rsidRPr="00E62499">
        <w:rPr>
          <w:rStyle w:val="Mc"/>
          <w:color w:val="auto"/>
        </w:rPr>
        <w:t xml:space="preserve"> F </w:t>
      </w:r>
    </w:p>
    <w:p w:rsidR="00531079" w:rsidRPr="00E62499" w:rsidRDefault="00531079" w:rsidP="00E714C5">
      <w:pPr>
        <w:pStyle w:val="Para"/>
        <w:widowControl/>
        <w:jc w:val="both"/>
        <w:rPr>
          <w:rStyle w:val="FNoteRef"/>
          <w:color w:val="auto"/>
        </w:rPr>
      </w:pPr>
      <w:r w:rsidRPr="00E62499">
        <w:rPr>
          <w:rStyle w:val="Mc"/>
          <w:color w:val="auto"/>
        </w:rPr>
        <w:t xml:space="preserve">A </w:t>
      </w:r>
      <w:proofErr w:type="gramStart"/>
      <w:r w:rsidRPr="00E62499">
        <w:rPr>
          <w:rFonts w:cs="Verdana"/>
          <w:color w:val="auto"/>
        </w:rPr>
        <w:t>currency</w:t>
      </w:r>
      <w:proofErr w:type="gramEnd"/>
      <w:r w:rsidRPr="00E62499">
        <w:rPr>
          <w:rFonts w:cs="Verdana"/>
          <w:color w:val="auto"/>
        </w:rPr>
        <w:t>, banking or exchanges</w:t>
      </w:r>
      <w:r w:rsidR="00EE3A39">
        <w:rPr>
          <w:rFonts w:cs="Verdana"/>
          <w:color w:val="auto"/>
        </w:rPr>
        <w:t>’</w:t>
      </w:r>
      <w:r w:rsidRPr="00E62499">
        <w:rPr>
          <w:rFonts w:cs="Verdana"/>
          <w:color w:val="auto"/>
        </w:rPr>
        <w:t xml:space="preserve"> (s 9(1)). This is the empowering provision under which the Regulations were promulgated.</w:t>
      </w:r>
      <w:bookmarkStart w:id="2" w:name="20114394fn2_Ref"/>
      <w:bookmarkEnd w:id="2"/>
      <w:r w:rsidR="009D3DAB">
        <w:rPr>
          <w:rStyle w:val="EndnoteReference"/>
          <w:rFonts w:cs="Verdana"/>
          <w:color w:val="auto"/>
        </w:rPr>
        <w:endnoteReference w:id="2"/>
      </w:r>
    </w:p>
    <w:p w:rsidR="00531079" w:rsidRPr="00E62499" w:rsidRDefault="00531079" w:rsidP="00E714C5">
      <w:pPr>
        <w:pStyle w:val="Para"/>
        <w:widowControl/>
        <w:jc w:val="both"/>
        <w:rPr>
          <w:rFonts w:cs="Verdana"/>
          <w:color w:val="auto"/>
        </w:rPr>
      </w:pPr>
      <w:r w:rsidRPr="00E62499">
        <w:rPr>
          <w:rFonts w:cs="Verdana"/>
          <w:color w:val="auto"/>
        </w:rPr>
        <w:t xml:space="preserve">[7] Turning then to the meaning of </w:t>
      </w:r>
      <w:proofErr w:type="spellStart"/>
      <w:r w:rsidRPr="00E62499">
        <w:rPr>
          <w:rFonts w:cs="Verdana"/>
          <w:color w:val="auto"/>
        </w:rPr>
        <w:t>reg</w:t>
      </w:r>
      <w:proofErr w:type="spellEnd"/>
      <w:r w:rsidRPr="00E62499">
        <w:rPr>
          <w:rFonts w:cs="Verdana"/>
          <w:color w:val="auto"/>
        </w:rPr>
        <w:t xml:space="preserve"> 10(1)</w:t>
      </w:r>
      <w:r w:rsidRPr="00E62499">
        <w:rPr>
          <w:rFonts w:cs="Verdana"/>
          <w:i/>
          <w:iCs/>
          <w:color w:val="auto"/>
        </w:rPr>
        <w:t>(c)</w:t>
      </w:r>
      <w:r w:rsidRPr="00E62499">
        <w:rPr>
          <w:rFonts w:cs="Verdana"/>
          <w:color w:val="auto"/>
        </w:rPr>
        <w:t xml:space="preserve">, </w:t>
      </w:r>
      <w:proofErr w:type="spellStart"/>
      <w:r w:rsidRPr="00E62499">
        <w:rPr>
          <w:rFonts w:cs="Verdana"/>
          <w:color w:val="auto"/>
        </w:rPr>
        <w:t>Jajbhay</w:t>
      </w:r>
      <w:proofErr w:type="spellEnd"/>
      <w:r w:rsidRPr="00E62499">
        <w:rPr>
          <w:rFonts w:cs="Verdana"/>
          <w:color w:val="auto"/>
        </w:rPr>
        <w:t xml:space="preserve"> AJ pointed out</w:t>
      </w:r>
      <w:bookmarkStart w:id="3" w:name="20114394fn3_Ref"/>
      <w:bookmarkEnd w:id="3"/>
      <w:r w:rsidR="009D3DAB">
        <w:rPr>
          <w:rStyle w:val="EndnoteReference"/>
          <w:rFonts w:cs="Verdana"/>
          <w:color w:val="auto"/>
        </w:rPr>
        <w:endnoteReference w:id="3"/>
      </w:r>
      <w:r w:rsidRPr="00E62499">
        <w:rPr>
          <w:rFonts w:cs="Verdana"/>
          <w:color w:val="auto"/>
        </w:rPr>
        <w:t xml:space="preserve"> that the term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is not defined and he adopted the views of </w:t>
      </w:r>
      <w:r w:rsidRPr="00E62499">
        <w:rPr>
          <w:rStyle w:val="Mc"/>
          <w:color w:val="auto"/>
        </w:rPr>
        <w:t xml:space="preserve"> B </w:t>
      </w:r>
      <w:r w:rsidRPr="00E62499">
        <w:rPr>
          <w:rFonts w:cs="Verdana"/>
          <w:color w:val="auto"/>
        </w:rPr>
        <w:t xml:space="preserve"> Prof AN </w:t>
      </w:r>
      <w:proofErr w:type="spellStart"/>
      <w:r w:rsidRPr="00E62499">
        <w:rPr>
          <w:rFonts w:cs="Verdana"/>
          <w:color w:val="auto"/>
        </w:rPr>
        <w:t>Oelofse</w:t>
      </w:r>
      <w:bookmarkStart w:id="4" w:name="20114394fn4_Ref"/>
      <w:bookmarkEnd w:id="4"/>
      <w:proofErr w:type="spellEnd"/>
      <w:r w:rsidR="009D3DAB">
        <w:rPr>
          <w:rStyle w:val="EndnoteReference"/>
          <w:rFonts w:cs="Verdana"/>
          <w:color w:val="auto"/>
        </w:rPr>
        <w:endnoteReference w:id="4"/>
      </w:r>
      <w:r w:rsidRPr="00E62499">
        <w:rPr>
          <w:rFonts w:cs="Verdana"/>
          <w:color w:val="auto"/>
        </w:rPr>
        <w:t xml:space="preserve"> that, considering the wide wording of the provision and the general objects of the Regulations,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is anything (or everything) with monetary value. The court below, while disagreeing with this view because the interpretation did not take account of the general scheme of the Regulations in the light of the terms of the Act, did not reach any firm conclusion as to its meaning. I, too, do not intend to </w:t>
      </w:r>
      <w:r w:rsidRPr="00E62499">
        <w:rPr>
          <w:rStyle w:val="Mc"/>
          <w:color w:val="auto"/>
        </w:rPr>
        <w:t xml:space="preserve"> C </w:t>
      </w:r>
      <w:r w:rsidRPr="00E62499">
        <w:rPr>
          <w:rFonts w:cs="Verdana"/>
          <w:color w:val="auto"/>
        </w:rPr>
        <w:t xml:space="preserve"> define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in this context comprehensively, but will confine myself to the question whether trademarks are within this framework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My conclusion will by parity of reasoning obviously apply to patents, designs and copyright.</w:t>
      </w:r>
    </w:p>
    <w:p w:rsidR="00531079" w:rsidRPr="00E62499" w:rsidRDefault="00531079" w:rsidP="00E714C5">
      <w:pPr>
        <w:pStyle w:val="Para"/>
        <w:widowControl/>
        <w:jc w:val="both"/>
        <w:rPr>
          <w:rStyle w:val="FNoteRef"/>
          <w:color w:val="auto"/>
        </w:rPr>
      </w:pPr>
      <w:r w:rsidRPr="00E62499">
        <w:rPr>
          <w:rFonts w:cs="Verdana"/>
          <w:color w:val="auto"/>
        </w:rPr>
        <w:t xml:space="preserve">[8] As a glance at any number of dictionaries will show, and as </w:t>
      </w:r>
      <w:r w:rsidRPr="00E62499">
        <w:rPr>
          <w:rStyle w:val="Mc"/>
          <w:color w:val="auto"/>
        </w:rPr>
        <w:t xml:space="preserve"> D </w:t>
      </w:r>
      <w:r w:rsidRPr="00E62499">
        <w:rPr>
          <w:rFonts w:cs="Verdana"/>
          <w:color w:val="auto"/>
        </w:rPr>
        <w:t xml:space="preserve"> Latham CJ once said, </w:t>
      </w:r>
      <w:r w:rsidR="00EE3A39">
        <w:rPr>
          <w:rFonts w:cs="Verdana"/>
          <w:color w:val="auto"/>
        </w:rPr>
        <w:t>‘</w:t>
      </w:r>
      <w:r w:rsidRPr="00E62499">
        <w:rPr>
          <w:rFonts w:cs="Verdana"/>
          <w:color w:val="auto"/>
        </w:rPr>
        <w:t>it is impossible to say that capital has a single technical meaning which prima facie should be attributed to the word in any statutory provision</w:t>
      </w:r>
      <w:r w:rsidR="00EE3A39">
        <w:rPr>
          <w:rFonts w:cs="Verdana"/>
          <w:color w:val="auto"/>
        </w:rPr>
        <w:t>’</w:t>
      </w:r>
      <w:r w:rsidRPr="00E62499">
        <w:rPr>
          <w:rFonts w:cs="Verdana"/>
          <w:color w:val="auto"/>
        </w:rPr>
        <w:t xml:space="preserve">, and that </w:t>
      </w:r>
      <w:r w:rsidR="00EE3A39">
        <w:rPr>
          <w:rFonts w:cs="Verdana"/>
          <w:color w:val="auto"/>
        </w:rPr>
        <w:t>‘</w:t>
      </w:r>
      <w:r w:rsidRPr="00E62499">
        <w:rPr>
          <w:rFonts w:cs="Verdana"/>
          <w:color w:val="auto"/>
        </w:rPr>
        <w:t>the significance of the word [capital] in a particular case depends on the context in which it is used</w:t>
      </w:r>
      <w:r w:rsidR="00EE3A39">
        <w:rPr>
          <w:rFonts w:cs="Verdana"/>
          <w:color w:val="auto"/>
        </w:rPr>
        <w:t>’</w:t>
      </w:r>
      <w:r w:rsidRPr="00E62499">
        <w:rPr>
          <w:rFonts w:cs="Verdana"/>
          <w:color w:val="auto"/>
        </w:rPr>
        <w:t>.</w:t>
      </w:r>
      <w:bookmarkStart w:id="5" w:name="20114394fn5_Ref"/>
      <w:bookmarkEnd w:id="5"/>
      <w:r w:rsidR="009D3DAB">
        <w:rPr>
          <w:rStyle w:val="EndnoteReference"/>
          <w:rFonts w:cs="Verdana"/>
          <w:color w:val="auto"/>
        </w:rPr>
        <w:endnoteReference w:id="5"/>
      </w:r>
    </w:p>
    <w:p w:rsidR="00531079" w:rsidRPr="00E62499" w:rsidRDefault="00531079" w:rsidP="00E714C5">
      <w:pPr>
        <w:pStyle w:val="Para"/>
        <w:widowControl/>
        <w:jc w:val="both"/>
        <w:rPr>
          <w:rStyle w:val="FNoteRef"/>
          <w:color w:val="auto"/>
        </w:rPr>
      </w:pPr>
      <w:r w:rsidRPr="00E62499">
        <w:rPr>
          <w:rStyle w:val="Mc"/>
          <w:color w:val="auto"/>
        </w:rPr>
        <w:t xml:space="preserve"> E </w:t>
      </w:r>
      <w:r w:rsidRPr="00E62499">
        <w:rPr>
          <w:rFonts w:cs="Verdana"/>
          <w:color w:val="auto"/>
        </w:rPr>
        <w:t>[9] Oilwell</w:t>
      </w:r>
      <w:r w:rsidR="00EE3A39">
        <w:rPr>
          <w:rFonts w:cs="Verdana"/>
          <w:color w:val="auto"/>
        </w:rPr>
        <w:t>’</w:t>
      </w:r>
      <w:r w:rsidRPr="00E62499">
        <w:rPr>
          <w:rFonts w:cs="Verdana"/>
          <w:color w:val="auto"/>
        </w:rPr>
        <w:t xml:space="preserve">s counsel submitted that the term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includes </w:t>
      </w:r>
      <w:r w:rsidR="00EE3A39">
        <w:rPr>
          <w:rFonts w:cs="Verdana"/>
          <w:color w:val="auto"/>
        </w:rPr>
        <w:t>‘</w:t>
      </w:r>
      <w:r w:rsidRPr="00E62499">
        <w:rPr>
          <w:rFonts w:cs="Verdana"/>
          <w:color w:val="auto"/>
        </w:rPr>
        <w:t>anything with a monetary value</w:t>
      </w:r>
      <w:r w:rsidR="00EE3A39">
        <w:rPr>
          <w:rFonts w:cs="Verdana"/>
          <w:color w:val="auto"/>
        </w:rPr>
        <w:t>’</w:t>
      </w:r>
      <w:r w:rsidRPr="00E62499">
        <w:rPr>
          <w:rFonts w:cs="Verdana"/>
          <w:color w:val="auto"/>
        </w:rPr>
        <w:t xml:space="preserve">. But, when asked whether the term in the present context has been used as an economic, financial or accounting concept, counsel readily accepted that it was used in a financial sense. This must be so because the Regulations are supposed to deal with matters relating to currency (banking and exchange rates, the other two matters referred </w:t>
      </w:r>
      <w:r w:rsidRPr="00E62499">
        <w:rPr>
          <w:rStyle w:val="Mc"/>
          <w:color w:val="auto"/>
        </w:rPr>
        <w:t xml:space="preserve"> F </w:t>
      </w:r>
      <w:r w:rsidRPr="00E62499">
        <w:rPr>
          <w:rFonts w:cs="Verdana"/>
          <w:color w:val="auto"/>
        </w:rPr>
        <w:t xml:space="preserve"> to in s 9, do not feature). The </w:t>
      </w:r>
      <w:r w:rsidRPr="00E62499">
        <w:rPr>
          <w:rFonts w:cs="Verdana"/>
          <w:i/>
          <w:iCs/>
          <w:color w:val="auto"/>
        </w:rPr>
        <w:t>Encarta World English Dictionary</w:t>
      </w:r>
      <w:r w:rsidRPr="00E62499">
        <w:rPr>
          <w:rFonts w:cs="Verdana"/>
          <w:color w:val="auto"/>
        </w:rPr>
        <w:t xml:space="preserve"> (</w:t>
      </w:r>
      <w:proofErr w:type="spellStart"/>
      <w:r w:rsidRPr="00E62499">
        <w:rPr>
          <w:rFonts w:cs="Verdana"/>
          <w:color w:val="auto"/>
        </w:rPr>
        <w:t>sv</w:t>
      </w:r>
      <w:proofErr w:type="spellEnd"/>
      <w:r w:rsidRPr="00E62499">
        <w:rPr>
          <w:rFonts w:cs="Verdana"/>
          <w:color w:val="auto"/>
        </w:rPr>
        <w:t xml:space="preserve">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distinguishes between these meanings and states that the meaning of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in a financial context is </w:t>
      </w:r>
      <w:r w:rsidR="00EE3A39">
        <w:rPr>
          <w:rFonts w:cs="Verdana"/>
          <w:color w:val="auto"/>
        </w:rPr>
        <w:t>‘</w:t>
      </w:r>
      <w:r w:rsidRPr="00E62499">
        <w:rPr>
          <w:rFonts w:cs="Verdana"/>
          <w:color w:val="auto"/>
        </w:rPr>
        <w:t xml:space="preserve">cash for </w:t>
      </w:r>
      <w:proofErr w:type="gramStart"/>
      <w:r w:rsidRPr="00E62499">
        <w:rPr>
          <w:rFonts w:cs="Verdana"/>
          <w:color w:val="auto"/>
        </w:rPr>
        <w:t>investment[</w:t>
      </w:r>
      <w:proofErr w:type="gramEnd"/>
      <w:r w:rsidRPr="00E62499">
        <w:rPr>
          <w:rFonts w:cs="Verdana"/>
          <w:color w:val="auto"/>
        </w:rPr>
        <w:t>,] money that can be used to produce further wealth</w:t>
      </w:r>
      <w:r w:rsidR="00EE3A39">
        <w:rPr>
          <w:rFonts w:cs="Verdana"/>
          <w:color w:val="auto"/>
        </w:rPr>
        <w:t>’</w:t>
      </w:r>
      <w:r w:rsidRPr="00E62499">
        <w:rPr>
          <w:rFonts w:cs="Verdana"/>
          <w:color w:val="auto"/>
        </w:rPr>
        <w:t xml:space="preserve">. As Chitty J explained in another context, capital is not the thing that for the time being represents capital </w:t>
      </w:r>
      <w:r w:rsidR="00EE3A39">
        <w:rPr>
          <w:rFonts w:cs="Verdana"/>
          <w:color w:val="auto"/>
        </w:rPr>
        <w:t>‘</w:t>
      </w:r>
      <w:r w:rsidRPr="00E62499">
        <w:rPr>
          <w:rFonts w:cs="Verdana"/>
          <w:color w:val="auto"/>
        </w:rPr>
        <w:t xml:space="preserve">in the sense of being things in which the capital has </w:t>
      </w:r>
      <w:r w:rsidRPr="00E62499">
        <w:rPr>
          <w:rStyle w:val="Mc"/>
          <w:color w:val="auto"/>
        </w:rPr>
        <w:t xml:space="preserve"> G </w:t>
      </w:r>
      <w:r w:rsidRPr="00E62499">
        <w:rPr>
          <w:rFonts w:cs="Verdana"/>
          <w:color w:val="auto"/>
        </w:rPr>
        <w:t xml:space="preserve"> been laid out</w:t>
      </w:r>
      <w:r w:rsidR="00EE3A39">
        <w:rPr>
          <w:rFonts w:cs="Verdana"/>
          <w:color w:val="auto"/>
        </w:rPr>
        <w:t>’</w:t>
      </w:r>
      <w:r w:rsidRPr="00E62499">
        <w:rPr>
          <w:rFonts w:cs="Verdana"/>
          <w:color w:val="auto"/>
        </w:rPr>
        <w:t>.</w:t>
      </w:r>
      <w:bookmarkStart w:id="6" w:name="20114394fn6_Ref"/>
      <w:bookmarkEnd w:id="6"/>
      <w:r w:rsidR="009D3DAB">
        <w:rPr>
          <w:rStyle w:val="EndnoteReference"/>
          <w:rFonts w:cs="Verdana"/>
          <w:color w:val="auto"/>
        </w:rPr>
        <w:endnoteReference w:id="6"/>
      </w:r>
    </w:p>
    <w:p w:rsidR="00531079" w:rsidRPr="00E62499" w:rsidRDefault="00531079" w:rsidP="00E714C5">
      <w:pPr>
        <w:pStyle w:val="Para"/>
        <w:widowControl/>
        <w:jc w:val="both"/>
        <w:rPr>
          <w:rFonts w:cs="Verdana"/>
          <w:color w:val="auto"/>
        </w:rPr>
      </w:pPr>
      <w:r w:rsidRPr="00E62499">
        <w:rPr>
          <w:rFonts w:cs="Verdana"/>
          <w:color w:val="auto"/>
        </w:rPr>
        <w:t xml:space="preserve">[10] But how does that particular dictionary definition fit in with the Regulations? Perfectly, I would suggest. It appears, for instance, from the definition of </w:t>
      </w:r>
      <w:r w:rsidR="00EE3A39">
        <w:rPr>
          <w:rFonts w:cs="Verdana"/>
          <w:color w:val="auto"/>
        </w:rPr>
        <w:t>‘</w:t>
      </w:r>
      <w:r w:rsidRPr="00E62499">
        <w:rPr>
          <w:rFonts w:cs="Verdana"/>
          <w:color w:val="auto"/>
        </w:rPr>
        <w:t>affected person</w:t>
      </w:r>
      <w:r w:rsidR="00EE3A39">
        <w:rPr>
          <w:rFonts w:cs="Verdana"/>
          <w:color w:val="auto"/>
        </w:rPr>
        <w:t>’</w:t>
      </w:r>
      <w:r w:rsidRPr="00E62499">
        <w:rPr>
          <w:rFonts w:cs="Verdana"/>
          <w:color w:val="auto"/>
        </w:rPr>
        <w:t xml:space="preserve"> in reg 1 that the Regulations do not </w:t>
      </w:r>
      <w:r w:rsidRPr="00E62499">
        <w:rPr>
          <w:rStyle w:val="Mc"/>
          <w:color w:val="auto"/>
        </w:rPr>
        <w:t xml:space="preserve"> H </w:t>
      </w:r>
      <w:r w:rsidRPr="00E62499">
        <w:rPr>
          <w:rFonts w:cs="Verdana"/>
          <w:color w:val="auto"/>
        </w:rPr>
        <w:t xml:space="preserve"> regard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and </w:t>
      </w:r>
      <w:r w:rsidR="00EE3A39">
        <w:rPr>
          <w:rFonts w:cs="Verdana"/>
          <w:color w:val="auto"/>
        </w:rPr>
        <w:t>‘</w:t>
      </w:r>
      <w:r w:rsidRPr="00E62499">
        <w:rPr>
          <w:rFonts w:cs="Verdana"/>
          <w:color w:val="auto"/>
        </w:rPr>
        <w:t>assets</w:t>
      </w:r>
      <w:r w:rsidR="00EE3A39">
        <w:rPr>
          <w:rFonts w:cs="Verdana"/>
          <w:color w:val="auto"/>
        </w:rPr>
        <w:t>’</w:t>
      </w:r>
      <w:r w:rsidRPr="00E62499">
        <w:rPr>
          <w:rFonts w:cs="Verdana"/>
          <w:color w:val="auto"/>
        </w:rPr>
        <w:t xml:space="preserve"> as synonymous concepts, which is what</w:t>
      </w:r>
      <w:r w:rsidR="00BD2409" w:rsidRPr="00E62499">
        <w:rPr>
          <w:rFonts w:cs="Verdana"/>
          <w:color w:val="auto"/>
        </w:rPr>
        <w:t xml:space="preserve"> </w:t>
      </w:r>
      <w:r w:rsidRPr="00E62499">
        <w:rPr>
          <w:rFonts w:cs="Verdana"/>
          <w:color w:val="auto"/>
        </w:rPr>
        <w:t>Oilwell</w:t>
      </w:r>
      <w:r w:rsidR="00EE3A39">
        <w:rPr>
          <w:rFonts w:cs="Verdana"/>
          <w:color w:val="auto"/>
        </w:rPr>
        <w:t>’</w:t>
      </w:r>
      <w:r w:rsidRPr="00E62499">
        <w:rPr>
          <w:rFonts w:cs="Verdana"/>
          <w:color w:val="auto"/>
        </w:rPr>
        <w:t>s argument boils down to.</w:t>
      </w:r>
      <w:bookmarkStart w:id="7" w:name="20114394fn7_Ref"/>
      <w:bookmarkEnd w:id="7"/>
      <w:r w:rsidR="009D3DAB">
        <w:rPr>
          <w:rStyle w:val="EndnoteReference"/>
          <w:rFonts w:cs="Verdana"/>
          <w:color w:val="auto"/>
        </w:rPr>
        <w:endnoteReference w:id="7"/>
      </w:r>
      <w:r w:rsidRPr="00E62499">
        <w:rPr>
          <w:rFonts w:cs="Verdana"/>
          <w:color w:val="auto"/>
        </w:rPr>
        <w:t xml:space="preserve">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in this definition in any </w:t>
      </w:r>
      <w:r w:rsidRPr="00E62499">
        <w:rPr>
          <w:rStyle w:val="Mc"/>
          <w:color w:val="auto"/>
        </w:rPr>
        <w:t xml:space="preserve"> A </w:t>
      </w:r>
      <w:r w:rsidRPr="00E62499">
        <w:rPr>
          <w:rFonts w:cs="Verdana"/>
          <w:color w:val="auto"/>
        </w:rPr>
        <w:t xml:space="preserve"> event refers to share capital. It also defines the term </w:t>
      </w:r>
      <w:r w:rsidR="00EE3A39">
        <w:rPr>
          <w:rFonts w:cs="Verdana"/>
          <w:color w:val="auto"/>
        </w:rPr>
        <w:t>‘</w:t>
      </w:r>
      <w:r w:rsidRPr="00E62499">
        <w:rPr>
          <w:rFonts w:cs="Verdana"/>
          <w:color w:val="auto"/>
        </w:rPr>
        <w:t>goods</w:t>
      </w:r>
      <w:r w:rsidR="00EE3A39">
        <w:rPr>
          <w:rFonts w:cs="Verdana"/>
          <w:color w:val="auto"/>
        </w:rPr>
        <w:t>’</w:t>
      </w:r>
      <w:r w:rsidRPr="00E62499">
        <w:rPr>
          <w:rFonts w:cs="Verdana"/>
          <w:color w:val="auto"/>
        </w:rPr>
        <w:t xml:space="preserve">, which includes </w:t>
      </w:r>
      <w:r w:rsidR="00EE3A39">
        <w:rPr>
          <w:rFonts w:cs="Verdana"/>
          <w:color w:val="auto"/>
        </w:rPr>
        <w:t>‘</w:t>
      </w:r>
      <w:r w:rsidRPr="00E62499">
        <w:rPr>
          <w:rFonts w:cs="Verdana"/>
          <w:color w:val="auto"/>
        </w:rPr>
        <w:t>any immovable goods or security</w:t>
      </w:r>
      <w:r w:rsidR="00EE3A39">
        <w:rPr>
          <w:rFonts w:cs="Verdana"/>
          <w:color w:val="auto"/>
        </w:rPr>
        <w:t>’</w:t>
      </w:r>
      <w:r w:rsidRPr="00E62499">
        <w:rPr>
          <w:rFonts w:cs="Verdana"/>
          <w:color w:val="auto"/>
        </w:rPr>
        <w:t xml:space="preserve"> and consequently movables also. There are also other textual indications in reg 10(1) where paras </w:t>
      </w:r>
      <w:r w:rsidRPr="00E62499">
        <w:rPr>
          <w:rFonts w:cs="Verdana"/>
          <w:i/>
          <w:iCs/>
          <w:color w:val="auto"/>
        </w:rPr>
        <w:t>(a)</w:t>
      </w:r>
      <w:r w:rsidRPr="00E62499">
        <w:rPr>
          <w:rFonts w:cs="Verdana"/>
          <w:color w:val="auto"/>
        </w:rPr>
        <w:t xml:space="preserve"> and </w:t>
      </w:r>
      <w:r w:rsidRPr="00E62499">
        <w:rPr>
          <w:rFonts w:cs="Verdana"/>
          <w:i/>
          <w:iCs/>
          <w:color w:val="auto"/>
        </w:rPr>
        <w:t>(b)</w:t>
      </w:r>
      <w:r w:rsidRPr="00E62499">
        <w:rPr>
          <w:rFonts w:cs="Verdana"/>
          <w:color w:val="auto"/>
        </w:rPr>
        <w:t xml:space="preserve"> deal with the export of </w:t>
      </w:r>
      <w:r w:rsidR="00EE3A39">
        <w:rPr>
          <w:rFonts w:cs="Verdana"/>
          <w:color w:val="auto"/>
        </w:rPr>
        <w:t>‘</w:t>
      </w:r>
      <w:r w:rsidRPr="00E62499">
        <w:rPr>
          <w:rFonts w:cs="Verdana"/>
          <w:color w:val="auto"/>
        </w:rPr>
        <w:t>goods</w:t>
      </w:r>
      <w:r w:rsidR="00EE3A39">
        <w:rPr>
          <w:rFonts w:cs="Verdana"/>
          <w:color w:val="auto"/>
        </w:rPr>
        <w:t>’</w:t>
      </w:r>
      <w:r w:rsidRPr="00E62499">
        <w:rPr>
          <w:rFonts w:cs="Verdana"/>
          <w:color w:val="auto"/>
        </w:rPr>
        <w:t xml:space="preserve">, while </w:t>
      </w:r>
      <w:proofErr w:type="spellStart"/>
      <w:r w:rsidRPr="00E62499">
        <w:rPr>
          <w:rFonts w:cs="Verdana"/>
          <w:color w:val="auto"/>
        </w:rPr>
        <w:t>para</w:t>
      </w:r>
      <w:proofErr w:type="spellEnd"/>
      <w:r w:rsidRPr="00E62499">
        <w:rPr>
          <w:rFonts w:cs="Verdana"/>
          <w:color w:val="auto"/>
        </w:rPr>
        <w:t xml:space="preserve"> </w:t>
      </w:r>
      <w:r w:rsidRPr="00E62499">
        <w:rPr>
          <w:rFonts w:cs="Verdana"/>
          <w:i/>
          <w:iCs/>
          <w:color w:val="auto"/>
        </w:rPr>
        <w:t>(c)</w:t>
      </w:r>
      <w:r w:rsidRPr="00E62499">
        <w:rPr>
          <w:rFonts w:cs="Verdana"/>
          <w:color w:val="auto"/>
        </w:rPr>
        <w:t xml:space="preserve"> speaks of the export of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This means, according to ordinary rules of interpretation, </w:t>
      </w:r>
      <w:r w:rsidRPr="00E62499">
        <w:rPr>
          <w:rStyle w:val="Mc"/>
          <w:color w:val="auto"/>
        </w:rPr>
        <w:t xml:space="preserve"> B </w:t>
      </w:r>
      <w:r w:rsidRPr="00E62499">
        <w:rPr>
          <w:rFonts w:cs="Verdana"/>
          <w:color w:val="auto"/>
        </w:rPr>
        <w:t xml:space="preserve"> that there must be a difference between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and </w:t>
      </w:r>
      <w:r w:rsidR="00EE3A39">
        <w:rPr>
          <w:rFonts w:cs="Verdana"/>
          <w:color w:val="auto"/>
        </w:rPr>
        <w:t>‘</w:t>
      </w:r>
      <w:r w:rsidRPr="00E62499">
        <w:rPr>
          <w:rFonts w:cs="Verdana"/>
          <w:color w:val="auto"/>
        </w:rPr>
        <w:t>goods</w:t>
      </w:r>
      <w:r w:rsidR="00EE3A39">
        <w:rPr>
          <w:rFonts w:cs="Verdana"/>
          <w:color w:val="auto"/>
        </w:rPr>
        <w:t>’</w:t>
      </w:r>
      <w:r w:rsidRPr="00E62499">
        <w:rPr>
          <w:rFonts w:cs="Verdana"/>
          <w:color w:val="auto"/>
        </w:rPr>
        <w:t xml:space="preserve"> and that the terms do not overlap. Further support for this interpretation is to be found in reg 11, which deals with </w:t>
      </w:r>
      <w:r w:rsidR="00EE3A39">
        <w:rPr>
          <w:rFonts w:cs="Verdana"/>
          <w:color w:val="auto"/>
        </w:rPr>
        <w:t>‘</w:t>
      </w:r>
      <w:r w:rsidRPr="00E62499">
        <w:rPr>
          <w:rFonts w:cs="Verdana"/>
          <w:color w:val="auto"/>
        </w:rPr>
        <w:t>capital issues</w:t>
      </w:r>
      <w:r w:rsidR="00EE3A39">
        <w:rPr>
          <w:rFonts w:cs="Verdana"/>
          <w:color w:val="auto"/>
        </w:rPr>
        <w:t>’</w:t>
      </w:r>
      <w:r w:rsidRPr="00E62499">
        <w:rPr>
          <w:rFonts w:cs="Verdana"/>
          <w:color w:val="auto"/>
        </w:rPr>
        <w:t xml:space="preserve"> — all about raising money.</w:t>
      </w:r>
    </w:p>
    <w:p w:rsidR="0088566F" w:rsidRDefault="00531079" w:rsidP="00E714C5">
      <w:pPr>
        <w:pStyle w:val="Para"/>
        <w:widowControl/>
        <w:jc w:val="both"/>
        <w:rPr>
          <w:rFonts w:cs="Verdana"/>
          <w:color w:val="auto"/>
        </w:rPr>
      </w:pPr>
      <w:r w:rsidRPr="00E62499">
        <w:rPr>
          <w:rFonts w:cs="Verdana"/>
          <w:color w:val="auto"/>
        </w:rPr>
        <w:lastRenderedPageBreak/>
        <w:t xml:space="preserve">[11] Serious anomalies would arise if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in context were to mean </w:t>
      </w:r>
      <w:r w:rsidRPr="00E62499">
        <w:rPr>
          <w:rStyle w:val="Mc"/>
          <w:color w:val="auto"/>
        </w:rPr>
        <w:t xml:space="preserve"> C </w:t>
      </w:r>
      <w:r w:rsidRPr="00E62499">
        <w:rPr>
          <w:rFonts w:cs="Verdana"/>
          <w:color w:val="auto"/>
        </w:rPr>
        <w:t xml:space="preserve"> everything with monetary value. Immovable property would then be capital and, although it cannot be </w:t>
      </w:r>
      <w:r w:rsidR="00EE3A39">
        <w:rPr>
          <w:rFonts w:cs="Verdana"/>
          <w:color w:val="auto"/>
        </w:rPr>
        <w:t>‘</w:t>
      </w:r>
      <w:r w:rsidRPr="00E62499">
        <w:rPr>
          <w:rFonts w:cs="Verdana"/>
          <w:color w:val="auto"/>
        </w:rPr>
        <w:t>exported</w:t>
      </w:r>
      <w:r w:rsidR="00EE3A39">
        <w:rPr>
          <w:rFonts w:cs="Verdana"/>
          <w:color w:val="auto"/>
        </w:rPr>
        <w:t>’</w:t>
      </w:r>
      <w:r w:rsidRPr="00E62499">
        <w:rPr>
          <w:rFonts w:cs="Verdana"/>
          <w:color w:val="auto"/>
        </w:rPr>
        <w:t xml:space="preserve">, the purchase of such property by a foreign company would amount to the export of the right to capital, something covered by </w:t>
      </w:r>
      <w:proofErr w:type="spellStart"/>
      <w:r w:rsidRPr="00E62499">
        <w:rPr>
          <w:rFonts w:cs="Verdana"/>
          <w:color w:val="auto"/>
        </w:rPr>
        <w:t>para</w:t>
      </w:r>
      <w:proofErr w:type="spellEnd"/>
      <w:r w:rsidRPr="00E62499">
        <w:rPr>
          <w:rFonts w:cs="Verdana"/>
          <w:color w:val="auto"/>
        </w:rPr>
        <w:t xml:space="preserve"> </w:t>
      </w:r>
      <w:r w:rsidRPr="00E62499">
        <w:rPr>
          <w:rFonts w:cs="Verdana"/>
          <w:i/>
          <w:iCs/>
          <w:color w:val="auto"/>
        </w:rPr>
        <w:t>(c)</w:t>
      </w:r>
      <w:r w:rsidRPr="00E62499">
        <w:rPr>
          <w:rFonts w:cs="Verdana"/>
          <w:color w:val="auto"/>
        </w:rPr>
        <w:t xml:space="preserve">. This would be all the more so when the property is an income-producing property. But it is common </w:t>
      </w:r>
      <w:r w:rsidRPr="00E62499">
        <w:rPr>
          <w:rStyle w:val="Mc"/>
          <w:color w:val="auto"/>
        </w:rPr>
        <w:t xml:space="preserve"> D </w:t>
      </w:r>
      <w:r w:rsidRPr="00E62499">
        <w:rPr>
          <w:rFonts w:cs="Verdana"/>
          <w:color w:val="auto"/>
        </w:rPr>
        <w:t xml:space="preserve"> cause that the sale of immovable property to a foreign company is not covered by the provision. The example can be extended to movables with monetary value. A </w:t>
      </w:r>
      <w:r w:rsidR="00EE3A39">
        <w:rPr>
          <w:rFonts w:cs="Verdana"/>
          <w:color w:val="auto"/>
        </w:rPr>
        <w:t>‘</w:t>
      </w:r>
      <w:r w:rsidRPr="00E62499">
        <w:rPr>
          <w:rFonts w:cs="Verdana"/>
          <w:color w:val="auto"/>
        </w:rPr>
        <w:t>foreigner</w:t>
      </w:r>
      <w:r w:rsidR="00EE3A39">
        <w:rPr>
          <w:rFonts w:cs="Verdana"/>
          <w:color w:val="auto"/>
        </w:rPr>
        <w:t>’</w:t>
      </w:r>
      <w:r w:rsidRPr="00E62499">
        <w:rPr>
          <w:rFonts w:cs="Verdana"/>
          <w:color w:val="auto"/>
        </w:rPr>
        <w:t xml:space="preserve"> who purchases a movable in South Africa, on Oilwell</w:t>
      </w:r>
      <w:r w:rsidR="00EE3A39">
        <w:rPr>
          <w:rFonts w:cs="Verdana"/>
          <w:color w:val="auto"/>
        </w:rPr>
        <w:t>’</w:t>
      </w:r>
      <w:r w:rsidRPr="00E62499">
        <w:rPr>
          <w:rFonts w:cs="Verdana"/>
          <w:color w:val="auto"/>
        </w:rPr>
        <w:t xml:space="preserve">s argument, buys a capital item and exports the right to that capital item from the Republic on leaving. This would surprise </w:t>
      </w:r>
      <w:r w:rsidRPr="00E62499">
        <w:rPr>
          <w:rStyle w:val="Mc"/>
          <w:color w:val="auto"/>
        </w:rPr>
        <w:t xml:space="preserve"> E </w:t>
      </w:r>
      <w:r w:rsidRPr="00E62499">
        <w:rPr>
          <w:rFonts w:cs="Verdana"/>
          <w:color w:val="auto"/>
        </w:rPr>
        <w:t xml:space="preserve"> many, not only those who hawked </w:t>
      </w:r>
      <w:proofErr w:type="spellStart"/>
      <w:r w:rsidRPr="00E62499">
        <w:rPr>
          <w:rFonts w:cs="Verdana"/>
          <w:color w:val="auto"/>
        </w:rPr>
        <w:t>vuvuzelas</w:t>
      </w:r>
      <w:proofErr w:type="spellEnd"/>
      <w:r w:rsidRPr="00E62499">
        <w:rPr>
          <w:rFonts w:cs="Verdana"/>
          <w:color w:val="auto"/>
        </w:rPr>
        <w:t xml:space="preserve"> during the Soccer World Cup event but also the Treasury. These examples show that a restrictive interpretation is called for, particularly in view of the fact that any legislation that creates criminal and administrative penalties, as the Regulations do, requires restrictive interpretation.</w:t>
      </w:r>
    </w:p>
    <w:p w:rsidR="00531079" w:rsidRPr="00E62499" w:rsidRDefault="00531079" w:rsidP="00E714C5">
      <w:pPr>
        <w:pStyle w:val="Para"/>
        <w:widowControl/>
        <w:jc w:val="both"/>
        <w:rPr>
          <w:rStyle w:val="Mc"/>
          <w:color w:val="auto"/>
        </w:rPr>
      </w:pPr>
      <w:r w:rsidRPr="00E62499">
        <w:rPr>
          <w:rStyle w:val="Mc"/>
          <w:color w:val="auto"/>
        </w:rPr>
        <w:t xml:space="preserve"> F </w:t>
      </w:r>
    </w:p>
    <w:p w:rsidR="00531079" w:rsidRPr="00E62499" w:rsidRDefault="00531079" w:rsidP="00E714C5">
      <w:pPr>
        <w:pStyle w:val="Para"/>
        <w:widowControl/>
        <w:jc w:val="both"/>
        <w:rPr>
          <w:rFonts w:cs="Verdana"/>
          <w:color w:val="auto"/>
        </w:rPr>
      </w:pPr>
      <w:r w:rsidRPr="00E62499">
        <w:rPr>
          <w:rFonts w:cs="Verdana"/>
          <w:color w:val="auto"/>
        </w:rPr>
        <w:t>[12] It is also useful to refer to the Afrikaans text. Since the Regulations were promulgated in English and Afrikaans at a time when these languages were on a par, the two texts have equal authority.</w:t>
      </w:r>
      <w:bookmarkStart w:id="8" w:name="20114394fn8_Ref"/>
      <w:bookmarkEnd w:id="8"/>
      <w:r w:rsidR="009D3DAB">
        <w:rPr>
          <w:rStyle w:val="EndnoteReference"/>
          <w:rFonts w:cs="Verdana"/>
          <w:color w:val="auto"/>
        </w:rPr>
        <w:endnoteReference w:id="8"/>
      </w:r>
      <w:r w:rsidR="0088566F">
        <w:rPr>
          <w:rFonts w:cs="Verdana"/>
          <w:color w:val="auto"/>
        </w:rPr>
        <w:t xml:space="preserve"> </w:t>
      </w:r>
      <w:r w:rsidRPr="00E62499">
        <w:rPr>
          <w:rFonts w:cs="Verdana"/>
          <w:color w:val="auto"/>
        </w:rPr>
        <w:t>Regulation 10(1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 xml:space="preserve"> uses the term </w:t>
      </w:r>
      <w:r w:rsidR="00EE3A39">
        <w:rPr>
          <w:rFonts w:cs="Verdana"/>
          <w:color w:val="auto"/>
        </w:rPr>
        <w:t>‘</w:t>
      </w:r>
      <w:proofErr w:type="spellStart"/>
      <w:r w:rsidRPr="00E62499">
        <w:rPr>
          <w:rFonts w:cs="Verdana"/>
          <w:color w:val="auto"/>
        </w:rPr>
        <w:t>kapitaal</w:t>
      </w:r>
      <w:proofErr w:type="spellEnd"/>
      <w:r w:rsidR="00EE3A39">
        <w:rPr>
          <w:rFonts w:cs="Verdana"/>
          <w:color w:val="auto"/>
        </w:rPr>
        <w:t>’</w:t>
      </w:r>
      <w:r w:rsidRPr="00E62499">
        <w:rPr>
          <w:rFonts w:cs="Verdana"/>
          <w:color w:val="auto"/>
        </w:rPr>
        <w:t xml:space="preserve"> and </w:t>
      </w:r>
      <w:r w:rsidR="00EE3A39">
        <w:rPr>
          <w:rFonts w:cs="Verdana"/>
          <w:color w:val="auto"/>
        </w:rPr>
        <w:t>‘</w:t>
      </w:r>
      <w:proofErr w:type="spellStart"/>
      <w:r w:rsidRPr="00E62499">
        <w:rPr>
          <w:rFonts w:cs="Verdana"/>
          <w:color w:val="auto"/>
        </w:rPr>
        <w:t>uitvoer</w:t>
      </w:r>
      <w:proofErr w:type="spellEnd"/>
      <w:r w:rsidR="00EE3A39">
        <w:rPr>
          <w:rFonts w:cs="Verdana"/>
          <w:color w:val="auto"/>
        </w:rPr>
        <w:t>’</w:t>
      </w:r>
      <w:r w:rsidRPr="00E62499">
        <w:rPr>
          <w:rFonts w:cs="Verdana"/>
          <w:color w:val="auto"/>
        </w:rPr>
        <w:t xml:space="preserve"> for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and </w:t>
      </w:r>
      <w:r w:rsidR="00EE3A39">
        <w:rPr>
          <w:rFonts w:cs="Verdana"/>
          <w:color w:val="auto"/>
        </w:rPr>
        <w:t>‘</w:t>
      </w:r>
      <w:r w:rsidRPr="00E62499">
        <w:rPr>
          <w:rFonts w:cs="Verdana"/>
          <w:color w:val="auto"/>
        </w:rPr>
        <w:t>export</w:t>
      </w:r>
      <w:r w:rsidR="00EE3A39">
        <w:rPr>
          <w:rFonts w:cs="Verdana"/>
          <w:color w:val="auto"/>
        </w:rPr>
        <w:t>’</w:t>
      </w:r>
      <w:r w:rsidRPr="00E62499">
        <w:rPr>
          <w:rFonts w:cs="Verdana"/>
          <w:color w:val="auto"/>
        </w:rPr>
        <w:t xml:space="preserve">. According to the authoritative Afrikaans dictionary, </w:t>
      </w:r>
      <w:r w:rsidRPr="00E62499">
        <w:rPr>
          <w:rStyle w:val="Mc"/>
          <w:color w:val="auto"/>
        </w:rPr>
        <w:t xml:space="preserve"> G </w:t>
      </w:r>
      <w:r w:rsidRPr="00E62499">
        <w:rPr>
          <w:rFonts w:cs="Verdana"/>
          <w:color w:val="auto"/>
        </w:rPr>
        <w:t xml:space="preserve"> </w:t>
      </w:r>
      <w:proofErr w:type="spellStart"/>
      <w:r w:rsidRPr="00E62499">
        <w:rPr>
          <w:rFonts w:cs="Verdana"/>
          <w:i/>
          <w:iCs/>
          <w:color w:val="auto"/>
        </w:rPr>
        <w:t>Woordeboek</w:t>
      </w:r>
      <w:proofErr w:type="spellEnd"/>
      <w:r w:rsidRPr="00E62499">
        <w:rPr>
          <w:rFonts w:cs="Verdana"/>
          <w:i/>
          <w:iCs/>
          <w:color w:val="auto"/>
        </w:rPr>
        <w:t xml:space="preserve"> van die </w:t>
      </w:r>
      <w:proofErr w:type="spellStart"/>
      <w:r w:rsidRPr="00E62499">
        <w:rPr>
          <w:rFonts w:cs="Verdana"/>
          <w:i/>
          <w:iCs/>
          <w:color w:val="auto"/>
        </w:rPr>
        <w:t>Afrikaanse</w:t>
      </w:r>
      <w:proofErr w:type="spellEnd"/>
      <w:r w:rsidRPr="00E62499">
        <w:rPr>
          <w:rFonts w:cs="Verdana"/>
          <w:i/>
          <w:iCs/>
          <w:color w:val="auto"/>
        </w:rPr>
        <w:t xml:space="preserve"> </w:t>
      </w:r>
      <w:proofErr w:type="spellStart"/>
      <w:r w:rsidRPr="00E62499">
        <w:rPr>
          <w:rFonts w:cs="Verdana"/>
          <w:i/>
          <w:iCs/>
          <w:color w:val="auto"/>
        </w:rPr>
        <w:t>Taal</w:t>
      </w:r>
      <w:proofErr w:type="spellEnd"/>
      <w:r w:rsidRPr="00E62499">
        <w:rPr>
          <w:rFonts w:cs="Verdana"/>
          <w:color w:val="auto"/>
        </w:rPr>
        <w:t xml:space="preserve">, the term </w:t>
      </w:r>
      <w:r w:rsidR="00EE3A39">
        <w:rPr>
          <w:rFonts w:cs="Verdana"/>
          <w:color w:val="auto"/>
        </w:rPr>
        <w:t>‘</w:t>
      </w:r>
      <w:proofErr w:type="spellStart"/>
      <w:r w:rsidRPr="00E62499">
        <w:rPr>
          <w:rFonts w:cs="Verdana"/>
          <w:color w:val="auto"/>
        </w:rPr>
        <w:t>kapitaaluitvoer</w:t>
      </w:r>
      <w:proofErr w:type="spellEnd"/>
      <w:r w:rsidR="00EE3A39">
        <w:rPr>
          <w:rFonts w:cs="Verdana"/>
          <w:color w:val="auto"/>
        </w:rPr>
        <w:t>’</w:t>
      </w:r>
      <w:r w:rsidRPr="00E62499">
        <w:rPr>
          <w:rFonts w:cs="Verdana"/>
          <w:color w:val="auto"/>
        </w:rPr>
        <w:t xml:space="preserve"> means </w:t>
      </w:r>
      <w:r w:rsidR="00EE3A39">
        <w:rPr>
          <w:rFonts w:cs="Verdana"/>
          <w:color w:val="auto"/>
        </w:rPr>
        <w:t>‘</w:t>
      </w:r>
      <w:proofErr w:type="spellStart"/>
      <w:r w:rsidRPr="00E62499">
        <w:rPr>
          <w:rFonts w:cs="Verdana"/>
          <w:color w:val="auto"/>
        </w:rPr>
        <w:t>verplasing</w:t>
      </w:r>
      <w:proofErr w:type="spellEnd"/>
      <w:r w:rsidRPr="00E62499">
        <w:rPr>
          <w:rFonts w:cs="Verdana"/>
          <w:color w:val="auto"/>
        </w:rPr>
        <w:t xml:space="preserve"> van </w:t>
      </w:r>
      <w:proofErr w:type="spellStart"/>
      <w:r w:rsidRPr="00E62499">
        <w:rPr>
          <w:rFonts w:cs="Verdana"/>
          <w:color w:val="auto"/>
        </w:rPr>
        <w:t>geldkapitaal</w:t>
      </w:r>
      <w:proofErr w:type="spellEnd"/>
      <w:r w:rsidRPr="00E62499">
        <w:rPr>
          <w:rFonts w:cs="Verdana"/>
          <w:color w:val="auto"/>
        </w:rPr>
        <w:t xml:space="preserve"> </w:t>
      </w:r>
      <w:proofErr w:type="spellStart"/>
      <w:r w:rsidRPr="00E62499">
        <w:rPr>
          <w:rFonts w:cs="Verdana"/>
          <w:color w:val="auto"/>
        </w:rPr>
        <w:t>na</w:t>
      </w:r>
      <w:proofErr w:type="spellEnd"/>
      <w:r w:rsidRPr="00E62499">
        <w:rPr>
          <w:rFonts w:cs="Verdana"/>
          <w:color w:val="auto"/>
        </w:rPr>
        <w:t xml:space="preserve"> die </w:t>
      </w:r>
      <w:proofErr w:type="spellStart"/>
      <w:r w:rsidRPr="00E62499">
        <w:rPr>
          <w:rFonts w:cs="Verdana"/>
          <w:color w:val="auto"/>
        </w:rPr>
        <w:t>buiteland</w:t>
      </w:r>
      <w:proofErr w:type="spellEnd"/>
      <w:r w:rsidR="00EE3A39">
        <w:rPr>
          <w:rFonts w:cs="Verdana"/>
          <w:color w:val="auto"/>
        </w:rPr>
        <w:t>’</w:t>
      </w:r>
      <w:r w:rsidRPr="00E62499">
        <w:rPr>
          <w:rFonts w:cs="Verdana"/>
          <w:color w:val="auto"/>
        </w:rPr>
        <w:t xml:space="preserve"> and </w:t>
      </w:r>
      <w:r w:rsidR="00EE3A39">
        <w:rPr>
          <w:rFonts w:cs="Verdana"/>
          <w:color w:val="auto"/>
        </w:rPr>
        <w:t>‘</w:t>
      </w:r>
      <w:proofErr w:type="spellStart"/>
      <w:r w:rsidRPr="00E62499">
        <w:rPr>
          <w:rFonts w:cs="Verdana"/>
          <w:color w:val="auto"/>
        </w:rPr>
        <w:t>beskikbaarstelling</w:t>
      </w:r>
      <w:proofErr w:type="spellEnd"/>
      <w:r w:rsidRPr="00E62499">
        <w:rPr>
          <w:rFonts w:cs="Verdana"/>
          <w:color w:val="auto"/>
        </w:rPr>
        <w:t xml:space="preserve"> op die </w:t>
      </w:r>
      <w:proofErr w:type="spellStart"/>
      <w:r w:rsidRPr="00E62499">
        <w:rPr>
          <w:rFonts w:cs="Verdana"/>
          <w:color w:val="auto"/>
        </w:rPr>
        <w:t>lang</w:t>
      </w:r>
      <w:proofErr w:type="spellEnd"/>
      <w:r w:rsidRPr="00E62499">
        <w:rPr>
          <w:rFonts w:cs="Verdana"/>
          <w:color w:val="auto"/>
        </w:rPr>
        <w:t xml:space="preserve"> </w:t>
      </w:r>
      <w:proofErr w:type="spellStart"/>
      <w:r w:rsidRPr="00E62499">
        <w:rPr>
          <w:rFonts w:cs="Verdana"/>
          <w:color w:val="auto"/>
        </w:rPr>
        <w:t>termyn</w:t>
      </w:r>
      <w:proofErr w:type="spellEnd"/>
      <w:r w:rsidRPr="00E62499">
        <w:rPr>
          <w:rFonts w:cs="Verdana"/>
          <w:color w:val="auto"/>
        </w:rPr>
        <w:t xml:space="preserve"> van </w:t>
      </w:r>
      <w:proofErr w:type="spellStart"/>
      <w:r w:rsidRPr="00E62499">
        <w:rPr>
          <w:rFonts w:cs="Verdana"/>
          <w:color w:val="auto"/>
        </w:rPr>
        <w:t>geldmiddele</w:t>
      </w:r>
      <w:proofErr w:type="spellEnd"/>
      <w:r w:rsidRPr="00E62499">
        <w:rPr>
          <w:rFonts w:cs="Verdana"/>
          <w:color w:val="auto"/>
        </w:rPr>
        <w:t xml:space="preserve"> </w:t>
      </w:r>
      <w:proofErr w:type="spellStart"/>
      <w:r w:rsidRPr="00E62499">
        <w:rPr>
          <w:rFonts w:cs="Verdana"/>
          <w:color w:val="auto"/>
        </w:rPr>
        <w:t>aan</w:t>
      </w:r>
      <w:proofErr w:type="spellEnd"/>
      <w:r w:rsidRPr="00E62499">
        <w:rPr>
          <w:rFonts w:cs="Verdana"/>
          <w:color w:val="auto"/>
        </w:rPr>
        <w:t xml:space="preserve"> die </w:t>
      </w:r>
      <w:proofErr w:type="spellStart"/>
      <w:r w:rsidRPr="00E62499">
        <w:rPr>
          <w:rFonts w:cs="Verdana"/>
          <w:color w:val="auto"/>
        </w:rPr>
        <w:t>buiteland</w:t>
      </w:r>
      <w:proofErr w:type="spellEnd"/>
      <w:r w:rsidR="00EE3A39">
        <w:rPr>
          <w:rFonts w:cs="Verdana"/>
          <w:color w:val="auto"/>
        </w:rPr>
        <w:t>’</w:t>
      </w:r>
      <w:r w:rsidRPr="00E62499">
        <w:rPr>
          <w:rFonts w:cs="Verdana"/>
          <w:color w:val="auto"/>
        </w:rPr>
        <w:t xml:space="preserve">, which accords with the financial meaning of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referred to above.</w:t>
      </w:r>
    </w:p>
    <w:p w:rsidR="00531079" w:rsidRPr="00E62499" w:rsidRDefault="00531079" w:rsidP="00E714C5">
      <w:pPr>
        <w:pStyle w:val="Para"/>
        <w:widowControl/>
        <w:jc w:val="both"/>
        <w:rPr>
          <w:rFonts w:cs="Verdana"/>
          <w:color w:val="auto"/>
        </w:rPr>
      </w:pPr>
      <w:r w:rsidRPr="00E62499">
        <w:rPr>
          <w:rStyle w:val="Mc"/>
          <w:color w:val="auto"/>
        </w:rPr>
        <w:t xml:space="preserve"> A </w:t>
      </w:r>
      <w:r w:rsidRPr="00E62499">
        <w:rPr>
          <w:rFonts w:cs="Verdana"/>
          <w:color w:val="auto"/>
        </w:rPr>
        <w:t>[13] Reverting to trademark rights: like all other intellectual property rights they are territorial and akin to immovables.</w:t>
      </w:r>
      <w:bookmarkStart w:id="9" w:name="20114394fn9_Ref"/>
      <w:bookmarkEnd w:id="9"/>
      <w:r w:rsidR="009D3DAB">
        <w:rPr>
          <w:rStyle w:val="EndnoteReference"/>
          <w:rFonts w:cs="Verdana"/>
          <w:color w:val="auto"/>
        </w:rPr>
        <w:endnoteReference w:id="9"/>
      </w:r>
      <w:r w:rsidRPr="00E62499">
        <w:rPr>
          <w:rFonts w:cs="Verdana"/>
          <w:color w:val="auto"/>
        </w:rPr>
        <w:t xml:space="preserve"> They can therefore not be </w:t>
      </w:r>
      <w:r w:rsidR="00EE3A39">
        <w:rPr>
          <w:rFonts w:cs="Verdana"/>
          <w:color w:val="auto"/>
        </w:rPr>
        <w:t>‘</w:t>
      </w:r>
      <w:r w:rsidRPr="00E62499">
        <w:rPr>
          <w:rFonts w:cs="Verdana"/>
          <w:color w:val="auto"/>
        </w:rPr>
        <w:t>exported</w:t>
      </w:r>
      <w:r w:rsidR="00EE3A39">
        <w:rPr>
          <w:rFonts w:cs="Verdana"/>
          <w:color w:val="auto"/>
        </w:rPr>
        <w:t>’</w:t>
      </w:r>
      <w:r w:rsidRPr="00E62499">
        <w:rPr>
          <w:rFonts w:cs="Verdana"/>
          <w:color w:val="auto"/>
        </w:rPr>
        <w:t xml:space="preserve">. But </w:t>
      </w:r>
      <w:proofErr w:type="spellStart"/>
      <w:r w:rsidRPr="00E62499">
        <w:rPr>
          <w:rFonts w:cs="Verdana"/>
          <w:i/>
          <w:iCs/>
          <w:color w:val="auto"/>
        </w:rPr>
        <w:t>Couve</w:t>
      </w:r>
      <w:proofErr w:type="spellEnd"/>
      <w:r w:rsidRPr="00E62499">
        <w:rPr>
          <w:rFonts w:cs="Verdana"/>
          <w:color w:val="auto"/>
        </w:rPr>
        <w:t xml:space="preserve"> held that the rights in patent applications include the concomitant right to receive royalties as capital.</w:t>
      </w:r>
      <w:bookmarkStart w:id="10" w:name="20114394fn10_Ref"/>
      <w:bookmarkEnd w:id="10"/>
      <w:r w:rsidR="009D3DAB">
        <w:rPr>
          <w:rStyle w:val="EndnoteReference"/>
          <w:rFonts w:cs="Verdana"/>
          <w:color w:val="auto"/>
        </w:rPr>
        <w:endnoteReference w:id="10"/>
      </w:r>
      <w:r w:rsidRPr="00E62499">
        <w:rPr>
          <w:rFonts w:cs="Verdana"/>
          <w:color w:val="auto"/>
        </w:rPr>
        <w:t xml:space="preserve"> This statement contains many misconceptions. A patent application creates </w:t>
      </w:r>
      <w:r w:rsidRPr="00E62499">
        <w:rPr>
          <w:rStyle w:val="Mc"/>
          <w:color w:val="auto"/>
        </w:rPr>
        <w:t xml:space="preserve"> B </w:t>
      </w:r>
      <w:r w:rsidRPr="00E62499">
        <w:rPr>
          <w:rFonts w:cs="Verdana"/>
          <w:color w:val="auto"/>
        </w:rPr>
        <w:t xml:space="preserve"> no monopoly. It creates only a priority right and an expectation that a patent may issue. Once the patent issues — and only from the date of grant — patent rights arise.</w:t>
      </w:r>
      <w:bookmarkStart w:id="11" w:name="20114394fn11_Ref"/>
      <w:bookmarkEnd w:id="11"/>
      <w:r w:rsidR="009D3DAB">
        <w:rPr>
          <w:rStyle w:val="EndnoteReference"/>
          <w:rFonts w:cs="Verdana"/>
          <w:color w:val="auto"/>
        </w:rPr>
        <w:endnoteReference w:id="11"/>
      </w:r>
      <w:r w:rsidRPr="00E62499">
        <w:rPr>
          <w:rFonts w:cs="Verdana"/>
          <w:color w:val="auto"/>
        </w:rPr>
        <w:t xml:space="preserve"> The Patents Act does not mention any right to receive royalties and the </w:t>
      </w:r>
      <w:r w:rsidR="00EE3A39">
        <w:rPr>
          <w:rFonts w:cs="Verdana"/>
          <w:color w:val="auto"/>
        </w:rPr>
        <w:t>‘</w:t>
      </w:r>
      <w:r w:rsidRPr="00E62499">
        <w:rPr>
          <w:rFonts w:cs="Verdana"/>
          <w:color w:val="auto"/>
        </w:rPr>
        <w:t>right</w:t>
      </w:r>
      <w:r w:rsidR="00EE3A39">
        <w:rPr>
          <w:rFonts w:cs="Verdana"/>
          <w:color w:val="auto"/>
        </w:rPr>
        <w:t>’</w:t>
      </w:r>
      <w:r w:rsidRPr="00E62499">
        <w:rPr>
          <w:rFonts w:cs="Verdana"/>
          <w:color w:val="auto"/>
        </w:rPr>
        <w:t xml:space="preserve"> to them would be incidental, flowing from a subsequent contract. In other words, a patent does not create a </w:t>
      </w:r>
      <w:r w:rsidRPr="00E62499">
        <w:rPr>
          <w:rStyle w:val="Mc"/>
          <w:color w:val="auto"/>
        </w:rPr>
        <w:t xml:space="preserve"> C </w:t>
      </w:r>
      <w:r w:rsidRPr="00E62499">
        <w:rPr>
          <w:rFonts w:cs="Verdana"/>
          <w:color w:val="auto"/>
        </w:rPr>
        <w:t xml:space="preserve"> right to royalties; it is the royalty agreement that does. The flow overseas of royalties and licence fees is in any event controlled by reg 3(1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 xml:space="preserve"> — it may not take place without the Treasury approval. And last, royalties represent earnings or income and not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in any sense of the word. This is confirmed by another aspect of the definition of </w:t>
      </w:r>
      <w:r w:rsidR="00EE3A39">
        <w:rPr>
          <w:rFonts w:cs="Verdana"/>
          <w:color w:val="auto"/>
        </w:rPr>
        <w:t>‘</w:t>
      </w:r>
      <w:r w:rsidRPr="00E62499">
        <w:rPr>
          <w:rFonts w:cs="Verdana"/>
          <w:color w:val="auto"/>
        </w:rPr>
        <w:t>affected person</w:t>
      </w:r>
      <w:r w:rsidR="00EE3A39">
        <w:rPr>
          <w:rFonts w:cs="Verdana"/>
          <w:color w:val="auto"/>
        </w:rPr>
        <w:t>’</w:t>
      </w:r>
      <w:r w:rsidRPr="00E62499">
        <w:rPr>
          <w:rFonts w:cs="Verdana"/>
          <w:color w:val="auto"/>
        </w:rPr>
        <w:t xml:space="preserve">: </w:t>
      </w:r>
      <w:r w:rsidRPr="00E62499">
        <w:rPr>
          <w:rStyle w:val="Mc"/>
          <w:color w:val="auto"/>
        </w:rPr>
        <w:t xml:space="preserve"> D </w:t>
      </w:r>
      <w:r w:rsidRPr="00E62499">
        <w:rPr>
          <w:rFonts w:cs="Verdana"/>
          <w:color w:val="auto"/>
        </w:rPr>
        <w:t xml:space="preserve"> it also distinguishes between capital and earnings.</w:t>
      </w:r>
    </w:p>
    <w:p w:rsidR="00531079" w:rsidRPr="00E62499" w:rsidRDefault="00531079" w:rsidP="00E714C5">
      <w:pPr>
        <w:pStyle w:val="Para"/>
        <w:widowControl/>
        <w:jc w:val="both"/>
        <w:rPr>
          <w:rFonts w:cs="Verdana"/>
          <w:color w:val="auto"/>
        </w:rPr>
      </w:pPr>
      <w:r w:rsidRPr="00E62499">
        <w:rPr>
          <w:rFonts w:cs="Verdana"/>
          <w:color w:val="auto"/>
        </w:rPr>
        <w:t xml:space="preserve">[14] </w:t>
      </w:r>
      <w:proofErr w:type="spellStart"/>
      <w:r w:rsidRPr="00E62499">
        <w:rPr>
          <w:rFonts w:cs="Verdana"/>
          <w:color w:val="auto"/>
        </w:rPr>
        <w:t>Jajbhay</w:t>
      </w:r>
      <w:proofErr w:type="spellEnd"/>
      <w:r w:rsidRPr="00E62499">
        <w:rPr>
          <w:rFonts w:cs="Verdana"/>
          <w:color w:val="auto"/>
        </w:rPr>
        <w:t xml:space="preserve"> AJ also relied for his conclusion, that royalties are </w:t>
      </w:r>
      <w:r w:rsidR="00EE3A39">
        <w:rPr>
          <w:rFonts w:cs="Verdana"/>
          <w:color w:val="auto"/>
        </w:rPr>
        <w:t>‘</w:t>
      </w:r>
      <w:r w:rsidRPr="00E62499">
        <w:rPr>
          <w:rFonts w:cs="Verdana"/>
          <w:color w:val="auto"/>
        </w:rPr>
        <w:t>capital</w:t>
      </w:r>
      <w:r w:rsidR="00EE3A39">
        <w:rPr>
          <w:rFonts w:cs="Verdana"/>
          <w:color w:val="auto"/>
        </w:rPr>
        <w:t>’</w:t>
      </w:r>
      <w:r w:rsidRPr="00E62499">
        <w:rPr>
          <w:rFonts w:cs="Verdana"/>
          <w:color w:val="auto"/>
        </w:rPr>
        <w:t xml:space="preserve">, on a provision of the Income Tax Act 58 of 1962, in terms of which the acquisition of a patent or patent application is regarded as a capital </w:t>
      </w:r>
      <w:r w:rsidRPr="00E62499">
        <w:rPr>
          <w:rStyle w:val="Mc"/>
          <w:color w:val="auto"/>
        </w:rPr>
        <w:t xml:space="preserve"> E </w:t>
      </w:r>
      <w:r w:rsidRPr="00E62499">
        <w:rPr>
          <w:rFonts w:cs="Verdana"/>
          <w:color w:val="auto"/>
        </w:rPr>
        <w:t>expenditure, and allowed as a reduction in the determination of taxable income (s 11</w:t>
      </w:r>
      <w:r w:rsidRPr="00E62499">
        <w:rPr>
          <w:rFonts w:cs="Verdana"/>
          <w:i/>
          <w:color w:val="auto"/>
        </w:rPr>
        <w:t>(</w:t>
      </w:r>
      <w:proofErr w:type="spellStart"/>
      <w:r w:rsidRPr="00E62499">
        <w:rPr>
          <w:rFonts w:cs="Verdana"/>
          <w:i/>
          <w:iCs/>
          <w:color w:val="auto"/>
        </w:rPr>
        <w:t>g</w:t>
      </w:r>
      <w:r w:rsidRPr="00E62499">
        <w:rPr>
          <w:rFonts w:cs="Verdana"/>
          <w:color w:val="auto"/>
        </w:rPr>
        <w:t>A</w:t>
      </w:r>
      <w:proofErr w:type="spellEnd"/>
      <w:r w:rsidRPr="00E62499">
        <w:rPr>
          <w:rFonts w:cs="Verdana"/>
          <w:i/>
          <w:color w:val="auto"/>
        </w:rPr>
        <w:t>)</w:t>
      </w:r>
      <w:r w:rsidRPr="00E62499">
        <w:rPr>
          <w:rFonts w:cs="Verdana"/>
          <w:color w:val="auto"/>
        </w:rPr>
        <w:t xml:space="preserve">). This, too, gives rise to conceptual problems. How something that is capital for purposes of income tax can determine the meaning of the word in unrelated legislation dealing with currency, is not understood. In any event, the fact that the Income Tax Act regards a patent as a capital asset does not mean that royalties are capital. As a </w:t>
      </w:r>
      <w:r w:rsidRPr="00E62499">
        <w:rPr>
          <w:rStyle w:val="Mc"/>
          <w:color w:val="auto"/>
        </w:rPr>
        <w:t xml:space="preserve"> F </w:t>
      </w:r>
      <w:r w:rsidRPr="00E62499">
        <w:rPr>
          <w:rFonts w:cs="Verdana"/>
          <w:color w:val="auto"/>
        </w:rPr>
        <w:t xml:space="preserve"> matter of fact, that Act regards royalties and licence fees as </w:t>
      </w:r>
      <w:r w:rsidR="00EE3A39">
        <w:rPr>
          <w:rFonts w:cs="Verdana"/>
          <w:color w:val="auto"/>
        </w:rPr>
        <w:t>‘</w:t>
      </w:r>
      <w:r w:rsidRPr="00E62499">
        <w:rPr>
          <w:rFonts w:cs="Verdana"/>
          <w:color w:val="auto"/>
        </w:rPr>
        <w:t>gross income</w:t>
      </w:r>
      <w:r w:rsidR="00EE3A39">
        <w:rPr>
          <w:rFonts w:cs="Verdana"/>
          <w:color w:val="auto"/>
        </w:rPr>
        <w:t>’</w:t>
      </w:r>
      <w:r w:rsidRPr="00E62499">
        <w:rPr>
          <w:rFonts w:cs="Verdana"/>
          <w:color w:val="auto"/>
        </w:rPr>
        <w:t xml:space="preserve"> (s 1 </w:t>
      </w:r>
      <w:proofErr w:type="spellStart"/>
      <w:r w:rsidRPr="00E62499">
        <w:rPr>
          <w:rFonts w:cs="Verdana"/>
          <w:color w:val="auto"/>
        </w:rPr>
        <w:t>sv</w:t>
      </w:r>
      <w:proofErr w:type="spellEnd"/>
      <w:r w:rsidRPr="00E62499">
        <w:rPr>
          <w:rFonts w:cs="Verdana"/>
          <w:color w:val="auto"/>
        </w:rPr>
        <w:t xml:space="preserve"> </w:t>
      </w:r>
      <w:r w:rsidR="00EE3A39">
        <w:rPr>
          <w:rFonts w:cs="Verdana"/>
          <w:color w:val="auto"/>
        </w:rPr>
        <w:t>‘</w:t>
      </w:r>
      <w:r w:rsidRPr="00E62499">
        <w:rPr>
          <w:rFonts w:cs="Verdana"/>
          <w:color w:val="auto"/>
        </w:rPr>
        <w:t>gross income</w:t>
      </w:r>
      <w:r w:rsidR="00EE3A39">
        <w:rPr>
          <w:rFonts w:cs="Verdana"/>
          <w:color w:val="auto"/>
        </w:rPr>
        <w:t>’</w:t>
      </w:r>
      <w:r w:rsidRPr="00E62499">
        <w:rPr>
          <w:rFonts w:cs="Verdana"/>
          <w:color w:val="auto"/>
        </w:rPr>
        <w:t xml:space="preserve"> </w:t>
      </w:r>
      <w:r w:rsidRPr="00E62499">
        <w:rPr>
          <w:rFonts w:cs="Verdana"/>
          <w:i/>
          <w:iCs/>
          <w:color w:val="auto"/>
        </w:rPr>
        <w:t>(g</w:t>
      </w:r>
      <w:proofErr w:type="gramStart"/>
      <w:r w:rsidRPr="00E62499">
        <w:rPr>
          <w:rFonts w:cs="Verdana"/>
          <w:i/>
          <w:iCs/>
          <w:color w:val="auto"/>
        </w:rPr>
        <w:t>)</w:t>
      </w:r>
      <w:r w:rsidRPr="00E62499">
        <w:rPr>
          <w:rFonts w:cs="Verdana"/>
          <w:color w:val="auto"/>
        </w:rPr>
        <w:t>(</w:t>
      </w:r>
      <w:proofErr w:type="gramEnd"/>
      <w:r w:rsidRPr="00E62499">
        <w:rPr>
          <w:rFonts w:cs="Verdana"/>
          <w:color w:val="auto"/>
        </w:rPr>
        <w:t>iii)).</w:t>
      </w:r>
    </w:p>
    <w:p w:rsidR="00531079" w:rsidRPr="00E62499" w:rsidRDefault="00531079" w:rsidP="00E714C5">
      <w:pPr>
        <w:pStyle w:val="Para"/>
        <w:widowControl/>
        <w:jc w:val="both"/>
        <w:rPr>
          <w:rFonts w:cs="Verdana"/>
          <w:color w:val="auto"/>
        </w:rPr>
      </w:pPr>
      <w:r w:rsidRPr="00E62499">
        <w:rPr>
          <w:rFonts w:cs="Verdana"/>
          <w:color w:val="auto"/>
        </w:rPr>
        <w:t>[15] I therefore conclude that the court below was correct in its interpretation of reg 10(1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 xml:space="preserve"> and that the appeal must be dismissed on </w:t>
      </w:r>
      <w:r w:rsidRPr="00E62499">
        <w:rPr>
          <w:rStyle w:val="Mc"/>
          <w:color w:val="auto"/>
        </w:rPr>
        <w:t xml:space="preserve"> G </w:t>
      </w:r>
      <w:r w:rsidRPr="00E62499">
        <w:rPr>
          <w:rFonts w:cs="Verdana"/>
          <w:color w:val="auto"/>
        </w:rPr>
        <w:t xml:space="preserve"> this ground. There is, however, another and independent reason why the appeal cannot succeed, and this relates to another</w:t>
      </w:r>
      <w:r w:rsidR="00CC59E6" w:rsidRPr="00E62499">
        <w:rPr>
          <w:rFonts w:cs="Verdana"/>
          <w:color w:val="auto"/>
        </w:rPr>
        <w:t xml:space="preserve"> m</w:t>
      </w:r>
      <w:r w:rsidRPr="00E62499">
        <w:rPr>
          <w:rFonts w:cs="Verdana"/>
          <w:color w:val="auto"/>
        </w:rPr>
        <w:t xml:space="preserve">ainstay of the </w:t>
      </w:r>
      <w:proofErr w:type="spellStart"/>
      <w:r w:rsidRPr="00E62499">
        <w:rPr>
          <w:rFonts w:cs="Verdana"/>
          <w:i/>
          <w:iCs/>
          <w:color w:val="auto"/>
        </w:rPr>
        <w:t>Couve</w:t>
      </w:r>
      <w:proofErr w:type="spellEnd"/>
      <w:r w:rsidRPr="00E62499">
        <w:rPr>
          <w:rFonts w:cs="Verdana"/>
          <w:color w:val="auto"/>
        </w:rPr>
        <w:t xml:space="preserve"> judgment, namely the finding that the failure to obtain prior Treasury consent for an agreement falling under reg 10(1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 xml:space="preserve"> is fatal to the agreement because it is void. </w:t>
      </w:r>
      <w:proofErr w:type="spellStart"/>
      <w:r w:rsidRPr="00E62499">
        <w:rPr>
          <w:rFonts w:cs="Verdana"/>
          <w:color w:val="auto"/>
        </w:rPr>
        <w:t>Prinsloo</w:t>
      </w:r>
      <w:proofErr w:type="spellEnd"/>
      <w:r w:rsidRPr="00E62499">
        <w:rPr>
          <w:rFonts w:cs="Verdana"/>
          <w:color w:val="auto"/>
        </w:rPr>
        <w:t xml:space="preserve"> J, in the court below, disagreed. It </w:t>
      </w:r>
      <w:r w:rsidRPr="00E62499">
        <w:rPr>
          <w:rStyle w:val="Mc"/>
          <w:color w:val="auto"/>
        </w:rPr>
        <w:t xml:space="preserve"> H </w:t>
      </w:r>
      <w:r w:rsidRPr="00E62499">
        <w:rPr>
          <w:rFonts w:cs="Verdana"/>
          <w:color w:val="auto"/>
        </w:rPr>
        <w:t xml:space="preserve">will be recalled in this regard that the paragraph states that no person </w:t>
      </w:r>
      <w:r w:rsidR="00EE3A39">
        <w:rPr>
          <w:rFonts w:cs="Verdana"/>
          <w:color w:val="auto"/>
        </w:rPr>
        <w:t>‘</w:t>
      </w:r>
      <w:r w:rsidRPr="00E62499">
        <w:rPr>
          <w:rFonts w:cs="Verdana"/>
          <w:color w:val="auto"/>
        </w:rPr>
        <w:t>shall</w:t>
      </w:r>
      <w:r w:rsidR="00EE3A39">
        <w:rPr>
          <w:rFonts w:cs="Verdana"/>
          <w:color w:val="auto"/>
        </w:rPr>
        <w:t>’</w:t>
      </w:r>
      <w:r w:rsidRPr="00E62499">
        <w:rPr>
          <w:rFonts w:cs="Verdana"/>
          <w:color w:val="auto"/>
        </w:rPr>
        <w:t xml:space="preserve">, except with the requisite permission, </w:t>
      </w:r>
      <w:r w:rsidR="00EE3A39">
        <w:rPr>
          <w:rFonts w:cs="Verdana"/>
          <w:color w:val="auto"/>
        </w:rPr>
        <w:t>‘</w:t>
      </w:r>
      <w:r w:rsidRPr="00E62499">
        <w:rPr>
          <w:rFonts w:cs="Verdana"/>
          <w:color w:val="auto"/>
        </w:rPr>
        <w:t>enter into</w:t>
      </w:r>
      <w:r w:rsidR="00EE3A39">
        <w:rPr>
          <w:rFonts w:cs="Verdana"/>
          <w:color w:val="auto"/>
        </w:rPr>
        <w:t>’</w:t>
      </w:r>
      <w:r w:rsidRPr="00E62499">
        <w:rPr>
          <w:rFonts w:cs="Verdana"/>
          <w:color w:val="auto"/>
        </w:rPr>
        <w:t xml:space="preserve"> any transaction covered by the provision. As mentioned, failure to comply may amount </w:t>
      </w:r>
      <w:r w:rsidRPr="00E62499">
        <w:rPr>
          <w:rFonts w:cs="Verdana"/>
          <w:color w:val="auto"/>
        </w:rPr>
        <w:lastRenderedPageBreak/>
        <w:t>to a criminal offence punishable by a heavy fine of not exceeding R250 000 and/or five years</w:t>
      </w:r>
      <w:r w:rsidR="00EE3A39">
        <w:rPr>
          <w:rFonts w:cs="Verdana"/>
          <w:color w:val="auto"/>
        </w:rPr>
        <w:t>’</w:t>
      </w:r>
      <w:r w:rsidRPr="00E62499">
        <w:rPr>
          <w:rFonts w:cs="Verdana"/>
          <w:color w:val="auto"/>
        </w:rPr>
        <w:t xml:space="preserve"> imprisonment (reg 22).</w:t>
      </w:r>
    </w:p>
    <w:p w:rsidR="0088566F" w:rsidRDefault="00531079" w:rsidP="00E714C5">
      <w:pPr>
        <w:pStyle w:val="Para"/>
        <w:widowControl/>
        <w:jc w:val="both"/>
        <w:rPr>
          <w:rFonts w:cs="Verdana"/>
          <w:color w:val="auto"/>
        </w:rPr>
      </w:pPr>
      <w:r w:rsidRPr="00E62499">
        <w:rPr>
          <w:rFonts w:cs="Verdana"/>
          <w:color w:val="auto"/>
        </w:rPr>
        <w:t xml:space="preserve">[16] It is necessary to place reg 22 in perspective. The parties to the </w:t>
      </w:r>
      <w:r w:rsidRPr="00E62499">
        <w:rPr>
          <w:rStyle w:val="Mc"/>
          <w:color w:val="auto"/>
        </w:rPr>
        <w:t xml:space="preserve"> A </w:t>
      </w:r>
      <w:r w:rsidRPr="00E62499">
        <w:rPr>
          <w:rFonts w:cs="Verdana"/>
          <w:color w:val="auto"/>
        </w:rPr>
        <w:t xml:space="preserve"> assignment did not intend to contravene or circumvent the Regulations.</w:t>
      </w:r>
      <w:bookmarkStart w:id="12" w:name="20114394fn12_Ref"/>
      <w:bookmarkEnd w:id="12"/>
      <w:r w:rsidR="009D3DAB">
        <w:rPr>
          <w:rStyle w:val="EndnoteReference"/>
          <w:rFonts w:cs="Verdana"/>
          <w:color w:val="auto"/>
        </w:rPr>
        <w:endnoteReference w:id="12"/>
      </w:r>
      <w:r w:rsidRPr="00E62499">
        <w:rPr>
          <w:rFonts w:cs="Verdana"/>
          <w:color w:val="auto"/>
        </w:rPr>
        <w:t xml:space="preserve"> On the contrary, they were concerned that the envisaged transfer of the trademark registration might be conditional on requisite approvals being obtained from relevant national revenue and other authorities, and they all agreed to apply promptly for such approvals and use their best </w:t>
      </w:r>
      <w:r w:rsidRPr="00E62499">
        <w:rPr>
          <w:rStyle w:val="Mc"/>
          <w:color w:val="auto"/>
        </w:rPr>
        <w:t xml:space="preserve"> B </w:t>
      </w:r>
      <w:r w:rsidRPr="00E62499">
        <w:rPr>
          <w:rFonts w:cs="Verdana"/>
          <w:color w:val="auto"/>
        </w:rPr>
        <w:t xml:space="preserve">efforts thereto. It is clear that they all were under the impression that no Treasury consents were required. As a matter of fact, the Exchange Control Manual issued by the Treasury, and which details all the requirements and rulings relevant to the Regulations at the time, made no reference to the assignment of intellectual property rights. It was only two years after the judgment in </w:t>
      </w:r>
      <w:proofErr w:type="spellStart"/>
      <w:r w:rsidRPr="00E62499">
        <w:rPr>
          <w:rFonts w:cs="Verdana"/>
          <w:i/>
          <w:iCs/>
          <w:color w:val="auto"/>
        </w:rPr>
        <w:t>Couve</w:t>
      </w:r>
      <w:proofErr w:type="spellEnd"/>
      <w:r w:rsidRPr="00E62499">
        <w:rPr>
          <w:rFonts w:cs="Verdana"/>
          <w:color w:val="auto"/>
        </w:rPr>
        <w:t xml:space="preserve"> that the manual (which has no </w:t>
      </w:r>
      <w:r w:rsidRPr="00E62499">
        <w:rPr>
          <w:rStyle w:val="Mc"/>
          <w:color w:val="auto"/>
        </w:rPr>
        <w:t xml:space="preserve"> C </w:t>
      </w:r>
      <w:r w:rsidRPr="00E62499">
        <w:rPr>
          <w:rFonts w:cs="Verdana"/>
          <w:color w:val="auto"/>
        </w:rPr>
        <w:t xml:space="preserve"> legal standing) was amended to reflect that reg 10(1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 xml:space="preserve"> applied to such agreements. It is therefore unlikely that any of the relevant parties had </w:t>
      </w:r>
      <w:proofErr w:type="spellStart"/>
      <w:r w:rsidRPr="0018049B">
        <w:rPr>
          <w:rFonts w:cs="Verdana"/>
          <w:i/>
          <w:color w:val="auto"/>
        </w:rPr>
        <w:t>mens</w:t>
      </w:r>
      <w:proofErr w:type="spellEnd"/>
      <w:r w:rsidRPr="0018049B">
        <w:rPr>
          <w:rFonts w:cs="Verdana"/>
          <w:i/>
          <w:color w:val="auto"/>
        </w:rPr>
        <w:t xml:space="preserve"> </w:t>
      </w:r>
      <w:proofErr w:type="spellStart"/>
      <w:r w:rsidRPr="0018049B">
        <w:rPr>
          <w:rFonts w:cs="Verdana"/>
          <w:i/>
          <w:color w:val="auto"/>
        </w:rPr>
        <w:t>rea</w:t>
      </w:r>
      <w:proofErr w:type="spellEnd"/>
      <w:r w:rsidRPr="00E62499">
        <w:rPr>
          <w:rFonts w:cs="Verdana"/>
          <w:color w:val="auto"/>
        </w:rPr>
        <w:t xml:space="preserve"> and, consequently, committed any crime, because the criminalisation of contraventions of, or failures to comply with, any provision of the Regulations in </w:t>
      </w:r>
      <w:proofErr w:type="spellStart"/>
      <w:r w:rsidRPr="00E62499">
        <w:rPr>
          <w:rFonts w:cs="Verdana"/>
          <w:color w:val="auto"/>
        </w:rPr>
        <w:t>reg</w:t>
      </w:r>
      <w:proofErr w:type="spellEnd"/>
      <w:r w:rsidRPr="00E62499">
        <w:rPr>
          <w:rFonts w:cs="Verdana"/>
          <w:color w:val="auto"/>
        </w:rPr>
        <w:t xml:space="preserve"> 22 requires </w:t>
      </w:r>
      <w:proofErr w:type="spellStart"/>
      <w:r w:rsidRPr="0018049B">
        <w:rPr>
          <w:rFonts w:cs="Verdana"/>
          <w:i/>
          <w:color w:val="auto"/>
        </w:rPr>
        <w:t>mens</w:t>
      </w:r>
      <w:proofErr w:type="spellEnd"/>
      <w:r w:rsidRPr="0018049B">
        <w:rPr>
          <w:rFonts w:cs="Verdana"/>
          <w:i/>
          <w:color w:val="auto"/>
        </w:rPr>
        <w:t xml:space="preserve"> </w:t>
      </w:r>
      <w:proofErr w:type="spellStart"/>
      <w:r w:rsidRPr="0018049B">
        <w:rPr>
          <w:rFonts w:cs="Verdana"/>
          <w:i/>
          <w:color w:val="auto"/>
        </w:rPr>
        <w:t>rea</w:t>
      </w:r>
      <w:proofErr w:type="spellEnd"/>
      <w:r w:rsidRPr="00E62499">
        <w:rPr>
          <w:rFonts w:cs="Verdana"/>
          <w:color w:val="auto"/>
        </w:rPr>
        <w:t xml:space="preserve">, as was held by </w:t>
      </w:r>
      <w:r w:rsidRPr="00E62499">
        <w:rPr>
          <w:rStyle w:val="Mc"/>
          <w:color w:val="auto"/>
        </w:rPr>
        <w:t xml:space="preserve"> D </w:t>
      </w:r>
      <w:r w:rsidRPr="00E62499">
        <w:rPr>
          <w:rFonts w:cs="Verdana"/>
          <w:color w:val="auto"/>
        </w:rPr>
        <w:t xml:space="preserve"> </w:t>
      </w:r>
      <w:proofErr w:type="spellStart"/>
      <w:r w:rsidRPr="00E62499">
        <w:rPr>
          <w:rFonts w:cs="Verdana"/>
          <w:color w:val="auto"/>
        </w:rPr>
        <w:t>Rumpff</w:t>
      </w:r>
      <w:proofErr w:type="spellEnd"/>
      <w:r w:rsidRPr="00E62499">
        <w:rPr>
          <w:rFonts w:cs="Verdana"/>
          <w:color w:val="auto"/>
        </w:rPr>
        <w:t xml:space="preserve"> CJ in </w:t>
      </w:r>
      <w:r w:rsidRPr="00E62499">
        <w:rPr>
          <w:rFonts w:cs="Verdana"/>
          <w:i/>
          <w:iCs/>
          <w:color w:val="auto"/>
        </w:rPr>
        <w:t xml:space="preserve">S v De </w:t>
      </w:r>
      <w:proofErr w:type="spellStart"/>
      <w:r w:rsidRPr="00E62499">
        <w:rPr>
          <w:rFonts w:cs="Verdana"/>
          <w:i/>
          <w:iCs/>
          <w:color w:val="auto"/>
        </w:rPr>
        <w:t>Blom</w:t>
      </w:r>
      <w:proofErr w:type="spellEnd"/>
      <w:r w:rsidRPr="00E62499">
        <w:rPr>
          <w:rFonts w:cs="Verdana"/>
          <w:color w:val="auto"/>
        </w:rPr>
        <w:t xml:space="preserve"> 1977 (3) SA 513 (A). This is especially so where the public was not informed of the requirement.</w:t>
      </w:r>
      <w:bookmarkStart w:id="13" w:name="20114394fn13_Ref"/>
      <w:bookmarkEnd w:id="13"/>
      <w:r w:rsidR="009D3DAB">
        <w:rPr>
          <w:rStyle w:val="EndnoteReference"/>
          <w:rFonts w:cs="Verdana"/>
          <w:color w:val="auto"/>
        </w:rPr>
        <w:endnoteReference w:id="13"/>
      </w:r>
      <w:r w:rsidRPr="00E62499">
        <w:rPr>
          <w:rFonts w:cs="Verdana"/>
          <w:color w:val="auto"/>
        </w:rPr>
        <w:t xml:space="preserve"> However, this does not mean that a contravention of the Regulations requires </w:t>
      </w:r>
      <w:proofErr w:type="spellStart"/>
      <w:r w:rsidRPr="0018049B">
        <w:rPr>
          <w:rFonts w:cs="Verdana"/>
          <w:i/>
          <w:color w:val="auto"/>
        </w:rPr>
        <w:t>mens</w:t>
      </w:r>
      <w:proofErr w:type="spellEnd"/>
      <w:r w:rsidRPr="0018049B">
        <w:rPr>
          <w:rFonts w:cs="Verdana"/>
          <w:i/>
          <w:color w:val="auto"/>
        </w:rPr>
        <w:t xml:space="preserve"> </w:t>
      </w:r>
      <w:proofErr w:type="spellStart"/>
      <w:r w:rsidRPr="0018049B">
        <w:rPr>
          <w:rFonts w:cs="Verdana"/>
          <w:i/>
          <w:color w:val="auto"/>
        </w:rPr>
        <w:t>rea</w:t>
      </w:r>
      <w:proofErr w:type="spellEnd"/>
      <w:r w:rsidRPr="00E62499">
        <w:rPr>
          <w:rFonts w:cs="Verdana"/>
          <w:color w:val="auto"/>
        </w:rPr>
        <w:t>: it means only that in its absence the relevant parties may not be punished criminally.</w:t>
      </w:r>
    </w:p>
    <w:p w:rsidR="00531079" w:rsidRPr="00E62499" w:rsidRDefault="00531079" w:rsidP="00E714C5">
      <w:pPr>
        <w:pStyle w:val="Para"/>
        <w:widowControl/>
        <w:jc w:val="both"/>
        <w:rPr>
          <w:rStyle w:val="Mc"/>
          <w:color w:val="auto"/>
        </w:rPr>
      </w:pPr>
      <w:r w:rsidRPr="00E62499">
        <w:rPr>
          <w:rStyle w:val="Mc"/>
          <w:color w:val="auto"/>
        </w:rPr>
        <w:t xml:space="preserve"> E </w:t>
      </w:r>
    </w:p>
    <w:p w:rsidR="00531079" w:rsidRPr="00E62499" w:rsidRDefault="00531079" w:rsidP="00E714C5">
      <w:pPr>
        <w:pStyle w:val="Para"/>
        <w:widowControl/>
        <w:jc w:val="both"/>
        <w:rPr>
          <w:rStyle w:val="FNoteRef"/>
          <w:color w:val="auto"/>
        </w:rPr>
      </w:pPr>
      <w:r w:rsidRPr="00E62499">
        <w:rPr>
          <w:rFonts w:cs="Verdana"/>
          <w:color w:val="auto"/>
        </w:rPr>
        <w:t xml:space="preserve">[17] Reliance on the Regulations in order to escape contractual obligations is not something new. However, as </w:t>
      </w:r>
      <w:proofErr w:type="spellStart"/>
      <w:r w:rsidRPr="00E62499">
        <w:rPr>
          <w:rFonts w:cs="Verdana"/>
          <w:color w:val="auto"/>
        </w:rPr>
        <w:t>Steyn</w:t>
      </w:r>
      <w:proofErr w:type="spellEnd"/>
      <w:r w:rsidRPr="00E62499">
        <w:rPr>
          <w:rFonts w:cs="Verdana"/>
          <w:color w:val="auto"/>
        </w:rPr>
        <w:t xml:space="preserve"> CJ said nearly 50 years ago, the Regulations are there in the public interest and not to provide </w:t>
      </w:r>
      <w:r w:rsidR="00EE3A39">
        <w:rPr>
          <w:rFonts w:cs="Verdana"/>
          <w:color w:val="auto"/>
        </w:rPr>
        <w:t>‘</w:t>
      </w:r>
      <w:r w:rsidRPr="00E62499">
        <w:rPr>
          <w:rFonts w:cs="Verdana"/>
          <w:color w:val="auto"/>
        </w:rPr>
        <w:t>an unwilling debtor with a ready instrument for evading liability</w:t>
      </w:r>
      <w:r w:rsidR="00EE3A39">
        <w:rPr>
          <w:rFonts w:cs="Verdana"/>
          <w:color w:val="auto"/>
        </w:rPr>
        <w:t>’</w:t>
      </w:r>
      <w:r w:rsidRPr="00E62499">
        <w:rPr>
          <w:rFonts w:cs="Verdana"/>
          <w:color w:val="auto"/>
        </w:rPr>
        <w:t xml:space="preserve">, or </w:t>
      </w:r>
      <w:r w:rsidR="00EE3A39">
        <w:rPr>
          <w:rFonts w:cs="Verdana"/>
          <w:color w:val="auto"/>
        </w:rPr>
        <w:t>‘</w:t>
      </w:r>
      <w:r w:rsidRPr="00E62499">
        <w:rPr>
          <w:rFonts w:cs="Verdana"/>
          <w:color w:val="auto"/>
        </w:rPr>
        <w:t>to grant a selective moratorium to a particular class of defaulting debtors</w:t>
      </w:r>
      <w:r w:rsidR="00EE3A39">
        <w:rPr>
          <w:rFonts w:cs="Verdana"/>
          <w:color w:val="auto"/>
        </w:rPr>
        <w:t>’</w:t>
      </w:r>
      <w:r w:rsidRPr="00E62499">
        <w:rPr>
          <w:rFonts w:cs="Verdana"/>
          <w:color w:val="auto"/>
        </w:rPr>
        <w:t>.</w:t>
      </w:r>
      <w:bookmarkStart w:id="14" w:name="20114394fn14_Ref"/>
      <w:bookmarkEnd w:id="14"/>
      <w:r w:rsidR="009D3DAB">
        <w:rPr>
          <w:rStyle w:val="EndnoteReference"/>
          <w:rFonts w:cs="Verdana"/>
          <w:color w:val="auto"/>
        </w:rPr>
        <w:endnoteReference w:id="14"/>
      </w:r>
      <w:r w:rsidRPr="00E62499">
        <w:rPr>
          <w:rFonts w:cs="Verdana"/>
          <w:color w:val="auto"/>
        </w:rPr>
        <w:t xml:space="preserve"> </w:t>
      </w:r>
      <w:r w:rsidRPr="00E62499">
        <w:rPr>
          <w:rStyle w:val="Mc"/>
          <w:color w:val="auto"/>
        </w:rPr>
        <w:t xml:space="preserve"> F </w:t>
      </w:r>
      <w:r w:rsidRPr="00E62499">
        <w:rPr>
          <w:rFonts w:cs="Verdana"/>
          <w:color w:val="auto"/>
        </w:rPr>
        <w:t xml:space="preserve">Their purpose, said </w:t>
      </w:r>
      <w:proofErr w:type="spellStart"/>
      <w:r w:rsidRPr="00E62499">
        <w:rPr>
          <w:rFonts w:cs="Verdana"/>
          <w:color w:val="auto"/>
        </w:rPr>
        <w:t>Trollip</w:t>
      </w:r>
      <w:proofErr w:type="spellEnd"/>
      <w:r w:rsidRPr="00E62499">
        <w:rPr>
          <w:rFonts w:cs="Verdana"/>
          <w:color w:val="auto"/>
        </w:rPr>
        <w:t xml:space="preserve"> JA, is to enable the Treasury to exercise proper control over transactions affecting foreign currency, in order to protect the Republic</w:t>
      </w:r>
      <w:r w:rsidR="00EE3A39">
        <w:rPr>
          <w:rFonts w:cs="Verdana"/>
          <w:color w:val="auto"/>
        </w:rPr>
        <w:t>’</w:t>
      </w:r>
      <w:r w:rsidRPr="00E62499">
        <w:rPr>
          <w:rFonts w:cs="Verdana"/>
          <w:color w:val="auto"/>
        </w:rPr>
        <w:t>s foreign reserves.</w:t>
      </w:r>
      <w:bookmarkStart w:id="15" w:name="20114394fn15_Ref"/>
      <w:bookmarkEnd w:id="15"/>
      <w:r w:rsidR="009D3DAB">
        <w:rPr>
          <w:rStyle w:val="EndnoteReference"/>
          <w:rFonts w:cs="Verdana"/>
          <w:color w:val="auto"/>
        </w:rPr>
        <w:endnoteReference w:id="15"/>
      </w:r>
    </w:p>
    <w:p w:rsidR="00531079" w:rsidRPr="00E62499" w:rsidRDefault="00531079" w:rsidP="00E714C5">
      <w:pPr>
        <w:pStyle w:val="Para"/>
        <w:widowControl/>
        <w:jc w:val="both"/>
        <w:rPr>
          <w:rStyle w:val="FNoteRef"/>
          <w:color w:val="auto"/>
        </w:rPr>
      </w:pPr>
      <w:r w:rsidRPr="00E62499">
        <w:rPr>
          <w:rFonts w:cs="Verdana"/>
          <w:color w:val="auto"/>
        </w:rPr>
        <w:t>[18] Debtors remained undaunted and relied especially on reg 3(1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 xml:space="preserve"> to evade judgment.</w:t>
      </w:r>
      <w:bookmarkStart w:id="16" w:name="20114394fn16_Ref"/>
      <w:bookmarkEnd w:id="16"/>
      <w:r w:rsidR="009D3DAB">
        <w:rPr>
          <w:rStyle w:val="EndnoteReference"/>
          <w:rFonts w:cs="Verdana"/>
          <w:color w:val="auto"/>
        </w:rPr>
        <w:endnoteReference w:id="16"/>
      </w:r>
      <w:r w:rsidRPr="00E62499">
        <w:rPr>
          <w:rFonts w:cs="Verdana"/>
          <w:color w:val="auto"/>
        </w:rPr>
        <w:t xml:space="preserve"> After a number of conflicting judgments this court </w:t>
      </w:r>
      <w:r w:rsidRPr="00E62499">
        <w:rPr>
          <w:rStyle w:val="Mc"/>
          <w:color w:val="auto"/>
        </w:rPr>
        <w:t xml:space="preserve"> G </w:t>
      </w:r>
      <w:r w:rsidRPr="00E62499">
        <w:rPr>
          <w:rFonts w:cs="Verdana"/>
          <w:color w:val="auto"/>
        </w:rPr>
        <w:t xml:space="preserve"> held, in spite of the peremptory language of the provision (</w:t>
      </w:r>
      <w:r w:rsidR="00EE3A39">
        <w:rPr>
          <w:rFonts w:cs="Verdana"/>
          <w:color w:val="auto"/>
        </w:rPr>
        <w:t>‘</w:t>
      </w:r>
      <w:r w:rsidRPr="00E62499">
        <w:rPr>
          <w:rFonts w:cs="Verdana"/>
          <w:color w:val="auto"/>
        </w:rPr>
        <w:t>no person</w:t>
      </w:r>
      <w:r w:rsidRPr="00E62499">
        <w:rPr>
          <w:rStyle w:val="Mc"/>
          <w:color w:val="auto"/>
        </w:rPr>
        <w:t xml:space="preserve"> A </w:t>
      </w:r>
      <w:r w:rsidRPr="00E62499">
        <w:rPr>
          <w:rFonts w:cs="Verdana"/>
          <w:color w:val="auto"/>
        </w:rPr>
        <w:t xml:space="preserve"> shall</w:t>
      </w:r>
      <w:r w:rsidR="00EE3A39">
        <w:rPr>
          <w:rFonts w:cs="Verdana"/>
          <w:color w:val="auto"/>
        </w:rPr>
        <w:t>’</w:t>
      </w:r>
      <w:r w:rsidRPr="00E62499">
        <w:rPr>
          <w:rFonts w:cs="Verdana"/>
          <w:color w:val="auto"/>
        </w:rPr>
        <w:t xml:space="preserve">), that the prior consent of the Treasury was not required in order to obtain a court order for payment. </w:t>
      </w:r>
      <w:proofErr w:type="spellStart"/>
      <w:r w:rsidRPr="00E62499">
        <w:rPr>
          <w:rFonts w:cs="Verdana"/>
          <w:color w:val="auto"/>
        </w:rPr>
        <w:t>Hoexter</w:t>
      </w:r>
      <w:proofErr w:type="spellEnd"/>
      <w:r w:rsidRPr="00E62499">
        <w:rPr>
          <w:rFonts w:cs="Verdana"/>
          <w:color w:val="auto"/>
        </w:rPr>
        <w:t xml:space="preserve"> JA concluded with these words:</w:t>
      </w:r>
      <w:bookmarkStart w:id="17" w:name="20114394fn17_Ref"/>
      <w:bookmarkEnd w:id="17"/>
      <w:r w:rsidR="009D3DAB">
        <w:rPr>
          <w:rStyle w:val="EndnoteReference"/>
          <w:rFonts w:cs="Verdana"/>
          <w:color w:val="auto"/>
        </w:rPr>
        <w:endnoteReference w:id="17"/>
      </w:r>
    </w:p>
    <w:p w:rsidR="00531079" w:rsidRDefault="00531079" w:rsidP="00E714C5">
      <w:pPr>
        <w:pStyle w:val="QT-I"/>
        <w:widowControl/>
        <w:jc w:val="both"/>
        <w:rPr>
          <w:rFonts w:cs="Verdana"/>
          <w:color w:val="auto"/>
        </w:rPr>
      </w:pPr>
      <w:r w:rsidRPr="00E62499">
        <w:rPr>
          <w:color w:val="auto"/>
          <w:sz w:val="24"/>
          <w:szCs w:val="24"/>
        </w:rPr>
        <w:tab/>
      </w:r>
      <w:r w:rsidR="00EE3A39">
        <w:rPr>
          <w:rFonts w:cs="Verdana"/>
          <w:color w:val="auto"/>
        </w:rPr>
        <w:t>‘</w:t>
      </w:r>
      <w:r w:rsidRPr="00E62499">
        <w:rPr>
          <w:rFonts w:cs="Verdana"/>
          <w:color w:val="auto"/>
        </w:rPr>
        <w:t xml:space="preserve">Embodied in the regulations is a criminal sanction which is designed to </w:t>
      </w:r>
      <w:r w:rsidRPr="00E62499">
        <w:rPr>
          <w:rStyle w:val="Mc"/>
          <w:color w:val="auto"/>
        </w:rPr>
        <w:t xml:space="preserve"> B </w:t>
      </w:r>
      <w:r w:rsidRPr="00E62499">
        <w:rPr>
          <w:rFonts w:cs="Verdana"/>
          <w:color w:val="auto"/>
        </w:rPr>
        <w:t xml:space="preserve"> enforce compliance therewith. The penalty prescribed for non-compliance is a stiff one. In my view the Legislature was here content with the said criminal sanction as being sufficient to ensure compliance with reg 3(1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w:t>
      </w:r>
      <w:r w:rsidR="00EE3A39">
        <w:rPr>
          <w:rFonts w:cs="Verdana"/>
          <w:color w:val="auto"/>
        </w:rPr>
        <w:t>’</w:t>
      </w:r>
    </w:p>
    <w:p w:rsidR="00A547DB" w:rsidRPr="00E62499" w:rsidRDefault="00A547DB" w:rsidP="00E714C5">
      <w:pPr>
        <w:pStyle w:val="QT-I"/>
        <w:widowControl/>
        <w:jc w:val="both"/>
        <w:rPr>
          <w:rFonts w:cs="Verdana"/>
          <w:color w:val="auto"/>
        </w:rPr>
      </w:pPr>
    </w:p>
    <w:p w:rsidR="00531079" w:rsidRPr="00E62499" w:rsidRDefault="00531079" w:rsidP="00E714C5">
      <w:pPr>
        <w:pStyle w:val="Para"/>
        <w:widowControl/>
        <w:jc w:val="both"/>
        <w:rPr>
          <w:rFonts w:cs="Verdana"/>
          <w:color w:val="auto"/>
        </w:rPr>
      </w:pPr>
      <w:r w:rsidRPr="00E62499">
        <w:rPr>
          <w:rFonts w:cs="Verdana"/>
          <w:color w:val="auto"/>
        </w:rPr>
        <w:t xml:space="preserve">[19] The background to this statement is to be found in J </w:t>
      </w:r>
      <w:proofErr w:type="spellStart"/>
      <w:r w:rsidRPr="00E62499">
        <w:rPr>
          <w:rFonts w:cs="Verdana"/>
          <w:color w:val="auto"/>
        </w:rPr>
        <w:t>Voet</w:t>
      </w:r>
      <w:proofErr w:type="spellEnd"/>
      <w:r w:rsidRPr="00E62499">
        <w:rPr>
          <w:rStyle w:val="Mc"/>
          <w:color w:val="auto"/>
        </w:rPr>
        <w:t xml:space="preserve"> C </w:t>
      </w:r>
      <w:r w:rsidRPr="00E62499">
        <w:rPr>
          <w:rFonts w:cs="Verdana"/>
          <w:color w:val="auto"/>
        </w:rPr>
        <w:t xml:space="preserve"> </w:t>
      </w:r>
      <w:proofErr w:type="spellStart"/>
      <w:r w:rsidRPr="00E62499">
        <w:rPr>
          <w:rFonts w:cs="Verdana"/>
          <w:i/>
          <w:iCs/>
          <w:color w:val="auto"/>
        </w:rPr>
        <w:t>Commentarius</w:t>
      </w:r>
      <w:proofErr w:type="spellEnd"/>
      <w:r w:rsidRPr="00E62499">
        <w:rPr>
          <w:rFonts w:cs="Verdana"/>
          <w:i/>
          <w:iCs/>
          <w:color w:val="auto"/>
        </w:rPr>
        <w:t xml:space="preserve"> </w:t>
      </w:r>
      <w:proofErr w:type="spellStart"/>
      <w:r w:rsidRPr="00E62499">
        <w:rPr>
          <w:rFonts w:cs="Verdana"/>
          <w:i/>
          <w:iCs/>
          <w:color w:val="auto"/>
        </w:rPr>
        <w:t>ad</w:t>
      </w:r>
      <w:proofErr w:type="spellEnd"/>
      <w:r w:rsidRPr="00E62499">
        <w:rPr>
          <w:rFonts w:cs="Verdana"/>
          <w:i/>
          <w:iCs/>
          <w:color w:val="auto"/>
        </w:rPr>
        <w:t xml:space="preserve"> </w:t>
      </w:r>
      <w:proofErr w:type="spellStart"/>
      <w:r w:rsidRPr="00E62499">
        <w:rPr>
          <w:rFonts w:cs="Verdana"/>
          <w:i/>
          <w:iCs/>
          <w:color w:val="auto"/>
        </w:rPr>
        <w:t>Pandectas</w:t>
      </w:r>
      <w:proofErr w:type="spellEnd"/>
      <w:r w:rsidRPr="00E62499">
        <w:rPr>
          <w:rFonts w:cs="Verdana"/>
          <w:color w:val="auto"/>
        </w:rPr>
        <w:t xml:space="preserve"> 1.3.16 (</w:t>
      </w:r>
      <w:proofErr w:type="spellStart"/>
      <w:r w:rsidRPr="00E62499">
        <w:rPr>
          <w:rFonts w:cs="Verdana"/>
          <w:color w:val="auto"/>
        </w:rPr>
        <w:t>Gane</w:t>
      </w:r>
      <w:r w:rsidR="00EE3A39">
        <w:rPr>
          <w:rFonts w:cs="Verdana"/>
          <w:color w:val="auto"/>
        </w:rPr>
        <w:t>’</w:t>
      </w:r>
      <w:r w:rsidRPr="00E62499">
        <w:rPr>
          <w:rFonts w:cs="Verdana"/>
          <w:color w:val="auto"/>
        </w:rPr>
        <w:t>s</w:t>
      </w:r>
      <w:proofErr w:type="spellEnd"/>
      <w:r w:rsidRPr="00E62499">
        <w:rPr>
          <w:rFonts w:cs="Verdana"/>
          <w:color w:val="auto"/>
        </w:rPr>
        <w:t xml:space="preserve"> translation) who said this:</w:t>
      </w:r>
    </w:p>
    <w:p w:rsidR="00531079" w:rsidRPr="00E62499" w:rsidRDefault="00531079" w:rsidP="00E714C5">
      <w:pPr>
        <w:pStyle w:val="QT-I"/>
        <w:widowControl/>
        <w:jc w:val="both"/>
        <w:rPr>
          <w:rFonts w:cs="Verdana"/>
          <w:color w:val="auto"/>
        </w:rPr>
      </w:pPr>
      <w:r w:rsidRPr="00E62499">
        <w:rPr>
          <w:color w:val="auto"/>
          <w:sz w:val="24"/>
          <w:szCs w:val="24"/>
        </w:rPr>
        <w:tab/>
      </w:r>
      <w:r w:rsidR="00EE3A39">
        <w:rPr>
          <w:rFonts w:cs="Verdana"/>
          <w:color w:val="auto"/>
        </w:rPr>
        <w:t>‘</w:t>
      </w:r>
      <w:r w:rsidRPr="00E62499">
        <w:rPr>
          <w:rFonts w:cs="Verdana"/>
          <w:color w:val="auto"/>
        </w:rPr>
        <w:t xml:space="preserve">Things done contrary to the laws are not </w:t>
      </w:r>
      <w:r w:rsidRPr="00E62499">
        <w:rPr>
          <w:rFonts w:cs="Verdana"/>
          <w:i/>
          <w:iCs/>
          <w:color w:val="auto"/>
        </w:rPr>
        <w:t>ipso jure</w:t>
      </w:r>
      <w:r w:rsidRPr="00E62499">
        <w:rPr>
          <w:rFonts w:cs="Verdana"/>
          <w:color w:val="auto"/>
        </w:rPr>
        <w:t xml:space="preserve"> </w:t>
      </w:r>
      <w:proofErr w:type="gramStart"/>
      <w:r w:rsidRPr="00E62499">
        <w:rPr>
          <w:rFonts w:cs="Verdana"/>
          <w:color w:val="auto"/>
        </w:rPr>
        <w:t>null</w:t>
      </w:r>
      <w:proofErr w:type="gramEnd"/>
      <w:r w:rsidRPr="00E62499">
        <w:rPr>
          <w:rFonts w:cs="Verdana"/>
          <w:color w:val="auto"/>
        </w:rPr>
        <w:t xml:space="preserve"> if the law is content with enacting a penalty against transgressors.</w:t>
      </w:r>
    </w:p>
    <w:p w:rsidR="00531079" w:rsidRPr="00E62499" w:rsidRDefault="00531079" w:rsidP="00E714C5">
      <w:pPr>
        <w:pStyle w:val="QT-I"/>
        <w:widowControl/>
        <w:jc w:val="both"/>
        <w:rPr>
          <w:rFonts w:cs="Verdana"/>
          <w:color w:val="auto"/>
        </w:rPr>
      </w:pPr>
      <w:r w:rsidRPr="00E62499">
        <w:rPr>
          <w:color w:val="auto"/>
          <w:sz w:val="24"/>
          <w:szCs w:val="24"/>
        </w:rPr>
        <w:tab/>
      </w:r>
      <w:r w:rsidRPr="00E62499">
        <w:rPr>
          <w:rFonts w:cs="Verdana"/>
          <w:color w:val="auto"/>
        </w:rPr>
        <w:t>. . .</w:t>
      </w:r>
    </w:p>
    <w:p w:rsidR="00531079" w:rsidRDefault="00531079" w:rsidP="00E714C5">
      <w:pPr>
        <w:pStyle w:val="QT-I"/>
        <w:widowControl/>
        <w:jc w:val="both"/>
        <w:rPr>
          <w:rFonts w:cs="Verdana"/>
          <w:color w:val="auto"/>
        </w:rPr>
      </w:pPr>
      <w:r w:rsidRPr="00E62499">
        <w:rPr>
          <w:color w:val="auto"/>
          <w:sz w:val="24"/>
          <w:szCs w:val="24"/>
        </w:rPr>
        <w:tab/>
      </w:r>
      <w:r w:rsidRPr="00E62499">
        <w:rPr>
          <w:rFonts w:cs="Verdana"/>
          <w:color w:val="auto"/>
        </w:rPr>
        <w:t xml:space="preserve">Nay indeed there is no lack of laws which forbid, and yet do not invalidate things to the contrary, nor impose any penalty upon them. </w:t>
      </w:r>
      <w:r w:rsidRPr="00E62499">
        <w:rPr>
          <w:rStyle w:val="Mc"/>
          <w:color w:val="auto"/>
        </w:rPr>
        <w:t xml:space="preserve"> D </w:t>
      </w:r>
      <w:r w:rsidRPr="00E62499">
        <w:rPr>
          <w:rFonts w:cs="Verdana"/>
          <w:color w:val="auto"/>
        </w:rPr>
        <w:t xml:space="preserve"> Hence came into vogue the famous maxim Many things are forbidden in law to be done which yet when done hold good.</w:t>
      </w:r>
      <w:r w:rsidR="00EE3A39">
        <w:rPr>
          <w:rFonts w:cs="Verdana"/>
          <w:color w:val="auto"/>
        </w:rPr>
        <w:t>’</w:t>
      </w:r>
    </w:p>
    <w:p w:rsidR="00EE3A39" w:rsidRPr="00E62499" w:rsidRDefault="00EE3A39" w:rsidP="00E714C5">
      <w:pPr>
        <w:pStyle w:val="QT-I"/>
        <w:widowControl/>
        <w:jc w:val="both"/>
        <w:rPr>
          <w:rFonts w:cs="Verdana"/>
          <w:color w:val="auto"/>
        </w:rPr>
      </w:pPr>
    </w:p>
    <w:p w:rsidR="00531079" w:rsidRPr="00E62499" w:rsidRDefault="00531079" w:rsidP="00E714C5">
      <w:pPr>
        <w:pStyle w:val="Para"/>
        <w:widowControl/>
        <w:jc w:val="both"/>
        <w:rPr>
          <w:rFonts w:cs="Verdana"/>
          <w:color w:val="auto"/>
        </w:rPr>
      </w:pPr>
      <w:r w:rsidRPr="00E62499">
        <w:rPr>
          <w:rFonts w:cs="Verdana"/>
          <w:color w:val="auto"/>
        </w:rPr>
        <w:t xml:space="preserve">This approach has been adopted in many judgments, more particularly in the leading case of </w:t>
      </w:r>
      <w:r w:rsidRPr="00E62499">
        <w:rPr>
          <w:rFonts w:cs="Verdana"/>
          <w:i/>
          <w:iCs/>
          <w:color w:val="auto"/>
        </w:rPr>
        <w:t xml:space="preserve">Standard Bank v Estate van </w:t>
      </w:r>
      <w:proofErr w:type="spellStart"/>
      <w:r w:rsidRPr="00E62499">
        <w:rPr>
          <w:rFonts w:cs="Verdana"/>
          <w:i/>
          <w:iCs/>
          <w:color w:val="auto"/>
        </w:rPr>
        <w:t>Rhyn</w:t>
      </w:r>
      <w:proofErr w:type="spellEnd"/>
      <w:r w:rsidRPr="00E62499">
        <w:rPr>
          <w:rFonts w:cs="Verdana"/>
          <w:color w:val="auto"/>
        </w:rPr>
        <w:t xml:space="preserve"> 1925 AD 266 at 274, where Solomon JA also referred to a further statement by </w:t>
      </w:r>
      <w:r w:rsidRPr="00E62499">
        <w:rPr>
          <w:rStyle w:val="Mc"/>
          <w:color w:val="auto"/>
        </w:rPr>
        <w:t xml:space="preserve"> E </w:t>
      </w:r>
      <w:r w:rsidRPr="00E62499">
        <w:rPr>
          <w:rFonts w:cs="Verdana"/>
          <w:color w:val="auto"/>
        </w:rPr>
        <w:t xml:space="preserve"> </w:t>
      </w:r>
      <w:proofErr w:type="spellStart"/>
      <w:r w:rsidRPr="00E62499">
        <w:rPr>
          <w:rFonts w:cs="Verdana"/>
          <w:color w:val="auto"/>
        </w:rPr>
        <w:t>Voet</w:t>
      </w:r>
      <w:proofErr w:type="spellEnd"/>
      <w:r w:rsidRPr="00E62499">
        <w:rPr>
          <w:rFonts w:cs="Verdana"/>
          <w:color w:val="auto"/>
        </w:rPr>
        <w:t xml:space="preserve"> (not as translated by </w:t>
      </w:r>
      <w:proofErr w:type="spellStart"/>
      <w:r w:rsidRPr="00E62499">
        <w:rPr>
          <w:rFonts w:cs="Verdana"/>
          <w:color w:val="auto"/>
        </w:rPr>
        <w:t>Gane</w:t>
      </w:r>
      <w:proofErr w:type="spellEnd"/>
      <w:r w:rsidRPr="00E62499">
        <w:rPr>
          <w:rFonts w:cs="Verdana"/>
          <w:color w:val="auto"/>
        </w:rPr>
        <w:t xml:space="preserve">), that an important consideration is whether </w:t>
      </w:r>
      <w:r w:rsidR="009A1336">
        <w:rPr>
          <w:rFonts w:cs="Verdana"/>
          <w:color w:val="auto"/>
        </w:rPr>
        <w:t>‘</w:t>
      </w:r>
      <w:r w:rsidRPr="00E62499">
        <w:rPr>
          <w:rFonts w:cs="Verdana"/>
          <w:color w:val="auto"/>
        </w:rPr>
        <w:t>greater inconveniences and impropriety would result from the rescission of what was done, than would follow the act itself done contrary to the law</w:t>
      </w:r>
      <w:r w:rsidR="009A1336">
        <w:rPr>
          <w:rFonts w:cs="Verdana"/>
          <w:color w:val="auto"/>
        </w:rPr>
        <w:t>’</w:t>
      </w:r>
      <w:r w:rsidRPr="00E62499">
        <w:rPr>
          <w:rFonts w:cs="Verdana"/>
          <w:color w:val="auto"/>
        </w:rPr>
        <w:t xml:space="preserve">. </w:t>
      </w:r>
      <w:proofErr w:type="spellStart"/>
      <w:r w:rsidRPr="00E62499">
        <w:rPr>
          <w:rFonts w:cs="Verdana"/>
          <w:color w:val="auto"/>
        </w:rPr>
        <w:t>Voet</w:t>
      </w:r>
      <w:proofErr w:type="spellEnd"/>
      <w:r w:rsidRPr="00E62499">
        <w:rPr>
          <w:rFonts w:cs="Verdana"/>
          <w:color w:val="auto"/>
        </w:rPr>
        <w:t xml:space="preserve"> concluded this section with a reference to H De </w:t>
      </w:r>
      <w:proofErr w:type="spellStart"/>
      <w:r w:rsidRPr="00E62499">
        <w:rPr>
          <w:rFonts w:cs="Verdana"/>
          <w:color w:val="auto"/>
        </w:rPr>
        <w:t>Groot</w:t>
      </w:r>
      <w:proofErr w:type="spellEnd"/>
      <w:r w:rsidRPr="00E62499">
        <w:rPr>
          <w:rFonts w:cs="Verdana"/>
          <w:color w:val="auto"/>
        </w:rPr>
        <w:t xml:space="preserve"> (Grotius to some) </w:t>
      </w:r>
      <w:proofErr w:type="spellStart"/>
      <w:r w:rsidRPr="00E62499">
        <w:rPr>
          <w:rFonts w:cs="Verdana"/>
          <w:i/>
          <w:iCs/>
          <w:color w:val="auto"/>
        </w:rPr>
        <w:t>Inleidinge</w:t>
      </w:r>
      <w:proofErr w:type="spellEnd"/>
      <w:r w:rsidRPr="00E62499">
        <w:rPr>
          <w:rFonts w:cs="Verdana"/>
          <w:color w:val="auto"/>
        </w:rPr>
        <w:t xml:space="preserve"> 1.2.2, </w:t>
      </w:r>
      <w:r w:rsidRPr="00E62499">
        <w:rPr>
          <w:rFonts w:cs="Verdana"/>
          <w:color w:val="auto"/>
        </w:rPr>
        <w:lastRenderedPageBreak/>
        <w:t xml:space="preserve">where the author, dealing </w:t>
      </w:r>
      <w:r w:rsidRPr="00E62499">
        <w:rPr>
          <w:rStyle w:val="Mc"/>
          <w:color w:val="auto"/>
        </w:rPr>
        <w:t xml:space="preserve"> F </w:t>
      </w:r>
      <w:r w:rsidRPr="00E62499">
        <w:rPr>
          <w:rFonts w:cs="Verdana"/>
          <w:color w:val="auto"/>
        </w:rPr>
        <w:t xml:space="preserve"> with the same subject, said that things done contrary to law are only void if the law so expresses itself (</w:t>
      </w:r>
      <w:r w:rsidR="009A1336">
        <w:rPr>
          <w:rFonts w:cs="Verdana"/>
          <w:color w:val="auto"/>
        </w:rPr>
        <w:t>‘</w:t>
      </w:r>
      <w:r w:rsidRPr="00E62499">
        <w:rPr>
          <w:rFonts w:cs="Verdana"/>
          <w:color w:val="auto"/>
        </w:rPr>
        <w:t xml:space="preserve">de wet </w:t>
      </w:r>
      <w:proofErr w:type="spellStart"/>
      <w:r w:rsidRPr="00E62499">
        <w:rPr>
          <w:rFonts w:cs="Verdana"/>
          <w:color w:val="auto"/>
        </w:rPr>
        <w:t>sulcks</w:t>
      </w:r>
      <w:proofErr w:type="spellEnd"/>
      <w:r w:rsidRPr="00E62499">
        <w:rPr>
          <w:rFonts w:cs="Verdana"/>
          <w:color w:val="auto"/>
        </w:rPr>
        <w:t xml:space="preserve"> </w:t>
      </w:r>
      <w:proofErr w:type="spellStart"/>
      <w:r w:rsidRPr="00E62499">
        <w:rPr>
          <w:rFonts w:cs="Verdana"/>
          <w:color w:val="auto"/>
        </w:rPr>
        <w:t>uytdruckt</w:t>
      </w:r>
      <w:proofErr w:type="spellEnd"/>
      <w:r w:rsidR="009A1336">
        <w:rPr>
          <w:rFonts w:cs="Verdana"/>
          <w:color w:val="auto"/>
        </w:rPr>
        <w:t>’</w:t>
      </w:r>
      <w:r w:rsidRPr="00E62499">
        <w:rPr>
          <w:rFonts w:cs="Verdana"/>
          <w:color w:val="auto"/>
        </w:rPr>
        <w:t>), or if someone</w:t>
      </w:r>
      <w:r w:rsidR="009A1336">
        <w:rPr>
          <w:rFonts w:cs="Verdana"/>
          <w:color w:val="auto"/>
        </w:rPr>
        <w:t>’</w:t>
      </w:r>
      <w:r w:rsidRPr="00E62499">
        <w:rPr>
          <w:rFonts w:cs="Verdana"/>
          <w:color w:val="auto"/>
        </w:rPr>
        <w:t xml:space="preserve">s ability to perform the act has been curtailed, or if the deed </w:t>
      </w:r>
      <w:r w:rsidR="009A1336">
        <w:rPr>
          <w:rFonts w:cs="Verdana"/>
          <w:color w:val="auto"/>
        </w:rPr>
        <w:t>‘</w:t>
      </w:r>
      <w:proofErr w:type="spellStart"/>
      <w:r w:rsidRPr="00E62499">
        <w:rPr>
          <w:rFonts w:cs="Verdana"/>
          <w:color w:val="auto"/>
        </w:rPr>
        <w:t>heeft</w:t>
      </w:r>
      <w:proofErr w:type="spellEnd"/>
      <w:r w:rsidRPr="00E62499">
        <w:rPr>
          <w:rFonts w:cs="Verdana"/>
          <w:color w:val="auto"/>
        </w:rPr>
        <w:t xml:space="preserve"> </w:t>
      </w:r>
      <w:proofErr w:type="spellStart"/>
      <w:r w:rsidRPr="00E62499">
        <w:rPr>
          <w:rFonts w:cs="Verdana"/>
          <w:color w:val="auto"/>
        </w:rPr>
        <w:t>een</w:t>
      </w:r>
      <w:proofErr w:type="spellEnd"/>
      <w:r w:rsidRPr="00E62499">
        <w:rPr>
          <w:rFonts w:cs="Verdana"/>
          <w:color w:val="auto"/>
        </w:rPr>
        <w:t xml:space="preserve"> </w:t>
      </w:r>
      <w:proofErr w:type="spellStart"/>
      <w:r w:rsidRPr="00E62499">
        <w:rPr>
          <w:rFonts w:cs="Verdana"/>
          <w:color w:val="auto"/>
        </w:rPr>
        <w:t>gestadigde</w:t>
      </w:r>
      <w:proofErr w:type="spellEnd"/>
      <w:r w:rsidRPr="00E62499">
        <w:rPr>
          <w:rFonts w:cs="Verdana"/>
          <w:color w:val="auto"/>
        </w:rPr>
        <w:t xml:space="preserve"> </w:t>
      </w:r>
      <w:proofErr w:type="spellStart"/>
      <w:r w:rsidRPr="00E62499">
        <w:rPr>
          <w:rFonts w:cs="Verdana"/>
          <w:color w:val="auto"/>
        </w:rPr>
        <w:t>onbehoorlickheid</w:t>
      </w:r>
      <w:proofErr w:type="spellEnd"/>
      <w:r w:rsidR="009A1336">
        <w:rPr>
          <w:rFonts w:cs="Verdana"/>
          <w:color w:val="auto"/>
        </w:rPr>
        <w:t>’</w:t>
      </w:r>
      <w:r w:rsidRPr="00E62499">
        <w:rPr>
          <w:rFonts w:cs="Verdana"/>
          <w:color w:val="auto"/>
        </w:rPr>
        <w:t xml:space="preserve"> (translated by </w:t>
      </w:r>
      <w:proofErr w:type="spellStart"/>
      <w:r w:rsidRPr="00E62499">
        <w:rPr>
          <w:rFonts w:cs="Verdana"/>
          <w:color w:val="auto"/>
        </w:rPr>
        <w:t>Gane</w:t>
      </w:r>
      <w:proofErr w:type="spellEnd"/>
      <w:r w:rsidRPr="00E62499">
        <w:rPr>
          <w:rFonts w:cs="Verdana"/>
          <w:color w:val="auto"/>
        </w:rPr>
        <w:t xml:space="preserve"> via </w:t>
      </w:r>
      <w:proofErr w:type="spellStart"/>
      <w:r w:rsidRPr="00E62499">
        <w:rPr>
          <w:rFonts w:cs="Verdana"/>
          <w:color w:val="auto"/>
        </w:rPr>
        <w:t>Voet</w:t>
      </w:r>
      <w:proofErr w:type="spellEnd"/>
      <w:r w:rsidRPr="00E62499">
        <w:rPr>
          <w:rFonts w:cs="Verdana"/>
          <w:color w:val="auto"/>
        </w:rPr>
        <w:t xml:space="preserve">, as </w:t>
      </w:r>
      <w:r w:rsidR="009A1336">
        <w:rPr>
          <w:rFonts w:cs="Verdana"/>
          <w:color w:val="auto"/>
        </w:rPr>
        <w:t>‘</w:t>
      </w:r>
      <w:r w:rsidRPr="00E62499">
        <w:rPr>
          <w:rFonts w:cs="Verdana"/>
          <w:color w:val="auto"/>
        </w:rPr>
        <w:t>if the act performed suffers from some obvious and ingrained disgrace</w:t>
      </w:r>
      <w:r w:rsidR="009A1336">
        <w:rPr>
          <w:rFonts w:cs="Verdana"/>
          <w:color w:val="auto"/>
        </w:rPr>
        <w:t>’</w:t>
      </w:r>
      <w:r w:rsidRPr="00E62499">
        <w:rPr>
          <w:rFonts w:cs="Verdana"/>
          <w:color w:val="auto"/>
        </w:rPr>
        <w:t xml:space="preserve">, but more </w:t>
      </w:r>
      <w:r w:rsidRPr="00E62499">
        <w:rPr>
          <w:rStyle w:val="Mc"/>
          <w:color w:val="auto"/>
        </w:rPr>
        <w:t xml:space="preserve"> G </w:t>
      </w:r>
      <w:r w:rsidRPr="00E62499">
        <w:rPr>
          <w:rFonts w:cs="Verdana"/>
          <w:color w:val="auto"/>
        </w:rPr>
        <w:t xml:space="preserve"> correctly from some </w:t>
      </w:r>
      <w:r w:rsidR="009A1336">
        <w:rPr>
          <w:rFonts w:cs="Verdana"/>
          <w:color w:val="auto"/>
        </w:rPr>
        <w:t>‘</w:t>
      </w:r>
      <w:r w:rsidRPr="00E62499">
        <w:rPr>
          <w:rFonts w:cs="Verdana"/>
          <w:color w:val="auto"/>
        </w:rPr>
        <w:t>unremitting impropriety</w:t>
      </w:r>
      <w:r w:rsidR="009A1336">
        <w:rPr>
          <w:rFonts w:cs="Verdana"/>
          <w:color w:val="auto"/>
        </w:rPr>
        <w:t>’</w:t>
      </w:r>
      <w:r w:rsidRPr="00E62499">
        <w:rPr>
          <w:rFonts w:cs="Verdana"/>
          <w:color w:val="auto"/>
        </w:rPr>
        <w:t>).</w:t>
      </w:r>
    </w:p>
    <w:p w:rsidR="00531079" w:rsidRPr="00E62499" w:rsidRDefault="00531079" w:rsidP="00E714C5">
      <w:pPr>
        <w:pStyle w:val="Para"/>
        <w:widowControl/>
        <w:jc w:val="both"/>
        <w:rPr>
          <w:rStyle w:val="FNoteRef"/>
          <w:color w:val="auto"/>
        </w:rPr>
      </w:pPr>
      <w:r w:rsidRPr="00E62499">
        <w:rPr>
          <w:rFonts w:cs="Verdana"/>
          <w:color w:val="auto"/>
        </w:rPr>
        <w:t xml:space="preserve">[20] </w:t>
      </w:r>
      <w:proofErr w:type="gramStart"/>
      <w:r w:rsidRPr="00E62499">
        <w:rPr>
          <w:rFonts w:cs="Verdana"/>
          <w:color w:val="auto"/>
        </w:rPr>
        <w:t>Next</w:t>
      </w:r>
      <w:proofErr w:type="gramEnd"/>
      <w:r w:rsidRPr="00E62499">
        <w:rPr>
          <w:rFonts w:cs="Verdana"/>
          <w:color w:val="auto"/>
        </w:rPr>
        <w:t xml:space="preserve"> to consider is the judgment of </w:t>
      </w:r>
      <w:proofErr w:type="spellStart"/>
      <w:r w:rsidRPr="00E62499">
        <w:rPr>
          <w:rFonts w:cs="Verdana"/>
          <w:color w:val="auto"/>
        </w:rPr>
        <w:t>Kriek</w:t>
      </w:r>
      <w:proofErr w:type="spellEnd"/>
      <w:r w:rsidRPr="00E62499">
        <w:rPr>
          <w:rFonts w:cs="Verdana"/>
          <w:color w:val="auto"/>
        </w:rPr>
        <w:t xml:space="preserve"> J in </w:t>
      </w:r>
      <w:r w:rsidRPr="00E62499">
        <w:rPr>
          <w:rFonts w:cs="Verdana"/>
          <w:i/>
          <w:iCs/>
          <w:color w:val="auto"/>
        </w:rPr>
        <w:t>Brownlee</w:t>
      </w:r>
      <w:r w:rsidRPr="00E62499">
        <w:rPr>
          <w:rFonts w:cs="Verdana"/>
          <w:color w:val="auto"/>
        </w:rPr>
        <w:t xml:space="preserve"> (supra). The case concerned reg 3(1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e)</w:t>
      </w:r>
      <w:r w:rsidRPr="00E62499">
        <w:rPr>
          <w:rFonts w:cs="Verdana"/>
          <w:color w:val="auto"/>
        </w:rPr>
        <w:t xml:space="preserve">, which deals with the grant of financial assistance to any person in the Republic where security for the financial assistance is furnished by any person resident outside the Republic. </w:t>
      </w:r>
      <w:r w:rsidRPr="00E62499">
        <w:rPr>
          <w:rStyle w:val="Mc"/>
          <w:color w:val="auto"/>
        </w:rPr>
        <w:t xml:space="preserve"> H </w:t>
      </w:r>
      <w:r w:rsidRPr="00E62499">
        <w:rPr>
          <w:rFonts w:cs="Verdana"/>
          <w:color w:val="auto"/>
        </w:rPr>
        <w:t xml:space="preserve"> Once again such assistance may not take place without the permission of the Treasury or a person authorised by the Treasury and in accordance with such conditions as the Treasury may impose. </w:t>
      </w:r>
      <w:proofErr w:type="spellStart"/>
      <w:r w:rsidRPr="00E62499">
        <w:rPr>
          <w:rFonts w:cs="Verdana"/>
          <w:color w:val="auto"/>
        </w:rPr>
        <w:t>Kriek</w:t>
      </w:r>
      <w:proofErr w:type="spellEnd"/>
      <w:r w:rsidRPr="00E62499">
        <w:rPr>
          <w:rFonts w:cs="Verdana"/>
          <w:color w:val="auto"/>
        </w:rPr>
        <w:t xml:space="preserve"> J held that the fact that such financial assistance was given without the consent of the Treasury did not nullify the agreement. He recognised, in quoting </w:t>
      </w:r>
      <w:r w:rsidRPr="00E62499">
        <w:rPr>
          <w:rStyle w:val="Mc"/>
          <w:color w:val="auto"/>
        </w:rPr>
        <w:t xml:space="preserve"> I </w:t>
      </w:r>
      <w:r w:rsidRPr="00E62499">
        <w:rPr>
          <w:rFonts w:cs="Verdana"/>
          <w:color w:val="auto"/>
        </w:rPr>
        <w:t xml:space="preserve"> extensively from </w:t>
      </w:r>
      <w:r w:rsidRPr="00E62499">
        <w:rPr>
          <w:rFonts w:cs="Verdana"/>
          <w:i/>
          <w:iCs/>
          <w:color w:val="auto"/>
        </w:rPr>
        <w:t>Swart v Smuts</w:t>
      </w:r>
      <w:r w:rsidRPr="00E62499">
        <w:rPr>
          <w:rFonts w:cs="Verdana"/>
          <w:color w:val="auto"/>
        </w:rPr>
        <w:t xml:space="preserve"> 1971 (1) SA 819 (A); and </w:t>
      </w:r>
      <w:proofErr w:type="spellStart"/>
      <w:r w:rsidRPr="00E62499">
        <w:rPr>
          <w:rFonts w:cs="Verdana"/>
          <w:i/>
          <w:iCs/>
          <w:color w:val="auto"/>
        </w:rPr>
        <w:t>Pottie</w:t>
      </w:r>
      <w:proofErr w:type="spellEnd"/>
      <w:r w:rsidRPr="00E62499">
        <w:rPr>
          <w:rFonts w:cs="Verdana"/>
          <w:i/>
          <w:iCs/>
          <w:color w:val="auto"/>
        </w:rPr>
        <w:t xml:space="preserve"> v </w:t>
      </w:r>
      <w:proofErr w:type="spellStart"/>
      <w:r w:rsidRPr="00E62499">
        <w:rPr>
          <w:rFonts w:cs="Verdana"/>
          <w:i/>
          <w:iCs/>
          <w:color w:val="auto"/>
        </w:rPr>
        <w:t>Kotze</w:t>
      </w:r>
      <w:proofErr w:type="spellEnd"/>
      <w:r w:rsidR="00CC59E6" w:rsidRPr="00E62499">
        <w:rPr>
          <w:rFonts w:cs="Verdana"/>
          <w:iCs/>
          <w:color w:val="auto"/>
        </w:rPr>
        <w:t xml:space="preserve"> </w:t>
      </w:r>
      <w:r w:rsidRPr="00E62499">
        <w:rPr>
          <w:rFonts w:cs="Verdana"/>
          <w:color w:val="auto"/>
        </w:rPr>
        <w:t xml:space="preserve">1954 (3) SA 719 (A), that it is really a matter of interpretation, and he </w:t>
      </w:r>
      <w:r w:rsidRPr="00E62499">
        <w:rPr>
          <w:rStyle w:val="Mc"/>
          <w:color w:val="auto"/>
        </w:rPr>
        <w:t xml:space="preserve"> A </w:t>
      </w:r>
      <w:r w:rsidRPr="00E62499">
        <w:rPr>
          <w:rFonts w:cs="Verdana"/>
          <w:color w:val="auto"/>
        </w:rPr>
        <w:t xml:space="preserve"> came to this conclusion, in spite of the fact that reg 3 is couched in imperative terms, and in spite of the severity of the penalties in reg 22.</w:t>
      </w:r>
      <w:bookmarkStart w:id="18" w:name="20114394fn18_Ref"/>
      <w:bookmarkEnd w:id="18"/>
      <w:r w:rsidR="009D3DAB">
        <w:rPr>
          <w:rStyle w:val="EndnoteReference"/>
          <w:rFonts w:cs="Verdana"/>
          <w:color w:val="auto"/>
        </w:rPr>
        <w:endnoteReference w:id="18"/>
      </w:r>
      <w:r w:rsidRPr="00E62499">
        <w:rPr>
          <w:rFonts w:cs="Verdana"/>
          <w:color w:val="auto"/>
        </w:rPr>
        <w:t xml:space="preserve"> Important considerations, to his mind, were that the Treasury consent was in a sense a formality (although not </w:t>
      </w:r>
      <w:r w:rsidR="009A1336">
        <w:rPr>
          <w:rFonts w:cs="Verdana"/>
          <w:color w:val="auto"/>
        </w:rPr>
        <w:t>‘</w:t>
      </w:r>
      <w:r w:rsidRPr="00E62499">
        <w:rPr>
          <w:rFonts w:cs="Verdana"/>
          <w:color w:val="auto"/>
        </w:rPr>
        <w:t>merely</w:t>
      </w:r>
      <w:r w:rsidR="009A1336">
        <w:rPr>
          <w:rFonts w:cs="Verdana"/>
          <w:color w:val="auto"/>
        </w:rPr>
        <w:t>’</w:t>
      </w:r>
      <w:r w:rsidRPr="00E62499">
        <w:rPr>
          <w:rFonts w:cs="Verdana"/>
          <w:color w:val="auto"/>
        </w:rPr>
        <w:t xml:space="preserve"> one), and the fact that the prohibition was not absolute because the Treasury could always have </w:t>
      </w:r>
      <w:r w:rsidRPr="00E62499">
        <w:rPr>
          <w:rStyle w:val="Mc"/>
          <w:color w:val="auto"/>
        </w:rPr>
        <w:t xml:space="preserve"> B </w:t>
      </w:r>
      <w:r w:rsidRPr="00E62499">
        <w:rPr>
          <w:rFonts w:cs="Verdana"/>
          <w:color w:val="auto"/>
        </w:rPr>
        <w:t xml:space="preserve"> consented to the conclusion of the transaction.</w:t>
      </w:r>
      <w:bookmarkStart w:id="19" w:name="20114394fn19_Ref"/>
      <w:bookmarkEnd w:id="19"/>
      <w:r w:rsidR="009D3DAB">
        <w:rPr>
          <w:rStyle w:val="EndnoteReference"/>
          <w:rFonts w:cs="Verdana"/>
          <w:color w:val="auto"/>
        </w:rPr>
        <w:endnoteReference w:id="19"/>
      </w:r>
      <w:r w:rsidRPr="00E62499">
        <w:rPr>
          <w:rFonts w:cs="Verdana"/>
          <w:color w:val="auto"/>
        </w:rPr>
        <w:t xml:space="preserve"> In addition, he said, avoiding the agreement was not necessary to attain the objects of the regulations,</w:t>
      </w:r>
      <w:bookmarkStart w:id="20" w:name="20114394fn20_Ref"/>
      <w:bookmarkEnd w:id="20"/>
      <w:r w:rsidR="009D3DAB">
        <w:rPr>
          <w:rStyle w:val="EndnoteReference"/>
          <w:rFonts w:cs="Verdana"/>
          <w:color w:val="auto"/>
        </w:rPr>
        <w:endnoteReference w:id="20"/>
      </w:r>
      <w:r w:rsidRPr="00E62499">
        <w:rPr>
          <w:rFonts w:cs="Verdana"/>
          <w:color w:val="auto"/>
        </w:rPr>
        <w:t xml:space="preserve"> and nullity would have resulted in greater inconvenience and impropriety than keeping the agreement alive.</w:t>
      </w:r>
      <w:bookmarkStart w:id="21" w:name="20114394fn21_Ref"/>
      <w:bookmarkEnd w:id="21"/>
      <w:r w:rsidR="009D3DAB">
        <w:rPr>
          <w:rStyle w:val="EndnoteReference"/>
          <w:rFonts w:cs="Verdana"/>
          <w:color w:val="auto"/>
        </w:rPr>
        <w:endnoteReference w:id="21"/>
      </w:r>
    </w:p>
    <w:p w:rsidR="00A547DB" w:rsidRDefault="00531079" w:rsidP="00E714C5">
      <w:pPr>
        <w:pStyle w:val="Para"/>
        <w:widowControl/>
        <w:jc w:val="both"/>
        <w:rPr>
          <w:rFonts w:cs="Verdana"/>
          <w:color w:val="auto"/>
        </w:rPr>
      </w:pPr>
      <w:r w:rsidRPr="00E62499">
        <w:rPr>
          <w:rFonts w:cs="Verdana"/>
          <w:color w:val="auto"/>
        </w:rPr>
        <w:t xml:space="preserve">[21] Then came </w:t>
      </w:r>
      <w:r w:rsidRPr="00E62499">
        <w:rPr>
          <w:rFonts w:cs="Verdana"/>
          <w:i/>
          <w:iCs/>
          <w:color w:val="auto"/>
        </w:rPr>
        <w:t xml:space="preserve">Henry v </w:t>
      </w:r>
      <w:proofErr w:type="spellStart"/>
      <w:r w:rsidRPr="00E62499">
        <w:rPr>
          <w:rFonts w:cs="Verdana"/>
          <w:i/>
          <w:iCs/>
          <w:color w:val="auto"/>
        </w:rPr>
        <w:t>Branfield</w:t>
      </w:r>
      <w:proofErr w:type="spellEnd"/>
      <w:r w:rsidRPr="00E62499">
        <w:rPr>
          <w:rFonts w:cs="Verdana"/>
          <w:color w:val="auto"/>
        </w:rPr>
        <w:t xml:space="preserve"> 1996 (1) SA 244 (D). The case </w:t>
      </w:r>
      <w:r w:rsidRPr="00E62499">
        <w:rPr>
          <w:rStyle w:val="Mc"/>
          <w:color w:val="auto"/>
        </w:rPr>
        <w:t xml:space="preserve"> C </w:t>
      </w:r>
      <w:r w:rsidRPr="00E62499">
        <w:rPr>
          <w:rFonts w:cs="Verdana"/>
          <w:color w:val="auto"/>
        </w:rPr>
        <w:t xml:space="preserve"> concerned the purchase of foreign currency without the permission of the Treasury, in conflict with reg 2. </w:t>
      </w:r>
      <w:proofErr w:type="spellStart"/>
      <w:r w:rsidRPr="00E62499">
        <w:rPr>
          <w:rFonts w:cs="Verdana"/>
          <w:color w:val="auto"/>
        </w:rPr>
        <w:t>Levinsohn</w:t>
      </w:r>
      <w:proofErr w:type="spellEnd"/>
      <w:r w:rsidRPr="00E62499">
        <w:rPr>
          <w:rFonts w:cs="Verdana"/>
          <w:color w:val="auto"/>
        </w:rPr>
        <w:t xml:space="preserve"> J, relying on the reasoning of </w:t>
      </w:r>
      <w:proofErr w:type="spellStart"/>
      <w:r w:rsidRPr="00E62499">
        <w:rPr>
          <w:rFonts w:cs="Verdana"/>
          <w:color w:val="auto"/>
        </w:rPr>
        <w:t>Kriek</w:t>
      </w:r>
      <w:proofErr w:type="spellEnd"/>
      <w:r w:rsidRPr="00E62499">
        <w:rPr>
          <w:rFonts w:cs="Verdana"/>
          <w:color w:val="auto"/>
        </w:rPr>
        <w:t xml:space="preserve"> J in </w:t>
      </w:r>
      <w:r w:rsidRPr="00E62499">
        <w:rPr>
          <w:rFonts w:cs="Verdana"/>
          <w:i/>
          <w:iCs/>
          <w:color w:val="auto"/>
        </w:rPr>
        <w:t>Brownlee</w:t>
      </w:r>
      <w:r w:rsidRPr="00E62499">
        <w:rPr>
          <w:rFonts w:cs="Verdana"/>
          <w:color w:val="auto"/>
        </w:rPr>
        <w:t>, struck the agreement down</w:t>
      </w:r>
      <w:r w:rsidRPr="00E62499">
        <w:rPr>
          <w:rFonts w:cs="Verdana"/>
          <w:i/>
          <w:iCs/>
          <w:color w:val="auto"/>
        </w:rPr>
        <w:t>.</w:t>
      </w:r>
      <w:r w:rsidRPr="00E62499">
        <w:rPr>
          <w:rFonts w:cs="Verdana"/>
          <w:color w:val="auto"/>
        </w:rPr>
        <w:t xml:space="preserve"> He did not explain why he in effect overruled a judgment which was binding on him, nor did he justify the use of </w:t>
      </w:r>
      <w:proofErr w:type="spellStart"/>
      <w:r w:rsidRPr="00E62499">
        <w:rPr>
          <w:rFonts w:cs="Verdana"/>
          <w:color w:val="auto"/>
        </w:rPr>
        <w:t>Kriek</w:t>
      </w:r>
      <w:proofErr w:type="spellEnd"/>
      <w:r w:rsidRPr="00E62499">
        <w:rPr>
          <w:rFonts w:cs="Verdana"/>
          <w:color w:val="auto"/>
        </w:rPr>
        <w:t xml:space="preserve"> J</w:t>
      </w:r>
      <w:r w:rsidR="009A1336">
        <w:rPr>
          <w:rFonts w:cs="Verdana"/>
          <w:color w:val="auto"/>
        </w:rPr>
        <w:t>’</w:t>
      </w:r>
      <w:r w:rsidRPr="00E62499">
        <w:rPr>
          <w:rFonts w:cs="Verdana"/>
          <w:color w:val="auto"/>
        </w:rPr>
        <w:t xml:space="preserve">s reasoning to reach the opposite result. He </w:t>
      </w:r>
      <w:r w:rsidRPr="00E62499">
        <w:rPr>
          <w:rStyle w:val="Mc"/>
          <w:color w:val="auto"/>
        </w:rPr>
        <w:t xml:space="preserve"> D </w:t>
      </w:r>
      <w:r w:rsidRPr="00E62499">
        <w:rPr>
          <w:rFonts w:cs="Verdana"/>
          <w:color w:val="auto"/>
        </w:rPr>
        <w:t xml:space="preserve"> simply said that, having regard to the peremptory nature of the prohibition, the legislature not only intended to visit a contravention with criminal sanctions, but also with nullity,</w:t>
      </w:r>
      <w:bookmarkStart w:id="22" w:name="20114394fn22_Ref"/>
      <w:bookmarkEnd w:id="22"/>
      <w:r w:rsidR="009D3DAB">
        <w:rPr>
          <w:rStyle w:val="EndnoteReference"/>
          <w:rFonts w:cs="Verdana"/>
          <w:color w:val="auto"/>
        </w:rPr>
        <w:endnoteReference w:id="22"/>
      </w:r>
      <w:r w:rsidRPr="00E62499">
        <w:rPr>
          <w:rFonts w:cs="Verdana"/>
          <w:color w:val="auto"/>
        </w:rPr>
        <w:t xml:space="preserve"> something that does not quite accord with the quoted dictum by </w:t>
      </w:r>
      <w:proofErr w:type="spellStart"/>
      <w:r w:rsidRPr="00E62499">
        <w:rPr>
          <w:rFonts w:cs="Verdana"/>
          <w:color w:val="auto"/>
        </w:rPr>
        <w:t>Hoexter</w:t>
      </w:r>
      <w:proofErr w:type="spellEnd"/>
      <w:r w:rsidRPr="00E62499">
        <w:rPr>
          <w:rFonts w:cs="Verdana"/>
          <w:color w:val="auto"/>
        </w:rPr>
        <w:t xml:space="preserve"> JA in </w:t>
      </w:r>
      <w:r w:rsidRPr="00E62499">
        <w:rPr>
          <w:rFonts w:cs="Verdana"/>
          <w:i/>
          <w:iCs/>
          <w:color w:val="auto"/>
        </w:rPr>
        <w:t>Barclays National Bank Ltd v Thompson</w:t>
      </w:r>
      <w:r w:rsidRPr="00E62499">
        <w:rPr>
          <w:rFonts w:cs="Verdana"/>
          <w:color w:val="auto"/>
        </w:rPr>
        <w:t xml:space="preserve"> (supra).</w:t>
      </w:r>
    </w:p>
    <w:p w:rsidR="00531079" w:rsidRPr="00E62499" w:rsidRDefault="00531079" w:rsidP="00E714C5">
      <w:pPr>
        <w:pStyle w:val="Para"/>
        <w:widowControl/>
        <w:jc w:val="both"/>
        <w:rPr>
          <w:rStyle w:val="Mc"/>
          <w:color w:val="auto"/>
        </w:rPr>
      </w:pPr>
      <w:r w:rsidRPr="00E62499">
        <w:rPr>
          <w:rStyle w:val="Mc"/>
          <w:color w:val="auto"/>
        </w:rPr>
        <w:t xml:space="preserve"> E </w:t>
      </w:r>
    </w:p>
    <w:p w:rsidR="00531079" w:rsidRPr="00E62499" w:rsidRDefault="00531079" w:rsidP="00E714C5">
      <w:pPr>
        <w:pStyle w:val="Para"/>
        <w:widowControl/>
        <w:jc w:val="both"/>
        <w:rPr>
          <w:rStyle w:val="FNoteRef"/>
          <w:color w:val="auto"/>
        </w:rPr>
      </w:pPr>
      <w:r w:rsidRPr="00E62499">
        <w:rPr>
          <w:rFonts w:cs="Verdana"/>
          <w:color w:val="auto"/>
        </w:rPr>
        <w:t xml:space="preserve">[22] It would be fair to say that </w:t>
      </w:r>
      <w:proofErr w:type="spellStart"/>
      <w:r w:rsidRPr="00E62499">
        <w:rPr>
          <w:rFonts w:cs="Verdana"/>
          <w:i/>
          <w:iCs/>
          <w:color w:val="auto"/>
        </w:rPr>
        <w:t>Couve</w:t>
      </w:r>
      <w:proofErr w:type="spellEnd"/>
      <w:r w:rsidRPr="00E62499">
        <w:rPr>
          <w:rFonts w:cs="Verdana"/>
          <w:color w:val="auto"/>
        </w:rPr>
        <w:t xml:space="preserve"> refused to follow </w:t>
      </w:r>
      <w:r w:rsidRPr="00E62499">
        <w:rPr>
          <w:rFonts w:cs="Verdana"/>
          <w:i/>
          <w:iCs/>
          <w:color w:val="auto"/>
        </w:rPr>
        <w:t>Brownlee</w:t>
      </w:r>
      <w:r w:rsidRPr="00E62499">
        <w:rPr>
          <w:rFonts w:cs="Verdana"/>
          <w:color w:val="auto"/>
        </w:rPr>
        <w:t xml:space="preserve"> for these reasons: the Regulations aimed to protect our reserves and are couched in imperative terms.</w:t>
      </w:r>
      <w:bookmarkStart w:id="23" w:name="20114394fn23_Ref"/>
      <w:bookmarkEnd w:id="23"/>
      <w:r w:rsidR="009D3DAB">
        <w:rPr>
          <w:rStyle w:val="EndnoteReference"/>
          <w:rFonts w:cs="Verdana"/>
          <w:color w:val="auto"/>
        </w:rPr>
        <w:endnoteReference w:id="23"/>
      </w:r>
      <w:r w:rsidRPr="00E62499">
        <w:rPr>
          <w:rFonts w:cs="Verdana"/>
          <w:color w:val="auto"/>
        </w:rPr>
        <w:t xml:space="preserve"> Bertelsmann J, in the context of another type of transaction, came more or less to the same conclusion, but he left open the important question whether the Treasury could give its consent </w:t>
      </w:r>
      <w:r w:rsidRPr="00E62499">
        <w:rPr>
          <w:rStyle w:val="Mc"/>
          <w:color w:val="auto"/>
        </w:rPr>
        <w:t xml:space="preserve"> F </w:t>
      </w:r>
      <w:r w:rsidRPr="00E62499">
        <w:rPr>
          <w:rFonts w:cs="Verdana"/>
          <w:color w:val="auto"/>
        </w:rPr>
        <w:t xml:space="preserve"> after the event.</w:t>
      </w:r>
      <w:bookmarkStart w:id="24" w:name="20114394fn24_Ref"/>
      <w:bookmarkEnd w:id="24"/>
      <w:r w:rsidR="009D3DAB">
        <w:rPr>
          <w:rStyle w:val="EndnoteReference"/>
          <w:rFonts w:cs="Verdana"/>
          <w:color w:val="auto"/>
        </w:rPr>
        <w:endnoteReference w:id="24"/>
      </w:r>
    </w:p>
    <w:p w:rsidR="00531079" w:rsidRPr="00E62499" w:rsidRDefault="00531079" w:rsidP="00E714C5">
      <w:pPr>
        <w:pStyle w:val="Para"/>
        <w:widowControl/>
        <w:jc w:val="both"/>
        <w:rPr>
          <w:rFonts w:cs="Verdana"/>
          <w:color w:val="auto"/>
        </w:rPr>
      </w:pPr>
      <w:r w:rsidRPr="00E62499">
        <w:rPr>
          <w:rFonts w:cs="Verdana"/>
          <w:color w:val="auto"/>
        </w:rPr>
        <w:t xml:space="preserve">[23] Although these considerations are important, and although it is arguable that, in spite of </w:t>
      </w:r>
      <w:proofErr w:type="spellStart"/>
      <w:r w:rsidRPr="00E62499">
        <w:rPr>
          <w:rFonts w:cs="Verdana"/>
          <w:color w:val="auto"/>
        </w:rPr>
        <w:t>Voet</w:t>
      </w:r>
      <w:r w:rsidR="009A1336">
        <w:rPr>
          <w:rFonts w:cs="Verdana"/>
          <w:color w:val="auto"/>
        </w:rPr>
        <w:t>’</w:t>
      </w:r>
      <w:r w:rsidRPr="00E62499">
        <w:rPr>
          <w:rFonts w:cs="Verdana"/>
          <w:color w:val="auto"/>
        </w:rPr>
        <w:t>s</w:t>
      </w:r>
      <w:proofErr w:type="spellEnd"/>
      <w:r w:rsidRPr="00E62499">
        <w:rPr>
          <w:rFonts w:cs="Verdana"/>
          <w:color w:val="auto"/>
        </w:rPr>
        <w:t xml:space="preserve"> generalised view, the heftier the penalty, the more likely it is that invalidity is intended, I am unable to agree with </w:t>
      </w:r>
      <w:r w:rsidRPr="00E62499">
        <w:rPr>
          <w:rStyle w:val="Mc"/>
          <w:color w:val="auto"/>
        </w:rPr>
        <w:t xml:space="preserve"> G </w:t>
      </w:r>
      <w:r w:rsidRPr="00E62499">
        <w:rPr>
          <w:rFonts w:cs="Verdana"/>
          <w:color w:val="auto"/>
        </w:rPr>
        <w:t xml:space="preserve"> the conclusion reached in </w:t>
      </w:r>
      <w:proofErr w:type="spellStart"/>
      <w:r w:rsidRPr="00E62499">
        <w:rPr>
          <w:rFonts w:cs="Verdana"/>
          <w:i/>
          <w:iCs/>
          <w:color w:val="auto"/>
        </w:rPr>
        <w:t>Couve</w:t>
      </w:r>
      <w:proofErr w:type="spellEnd"/>
      <w:r w:rsidRPr="00E62499">
        <w:rPr>
          <w:rFonts w:cs="Verdana"/>
          <w:color w:val="auto"/>
        </w:rPr>
        <w:t>.</w:t>
      </w:r>
    </w:p>
    <w:p w:rsidR="00531079" w:rsidRPr="00E62499" w:rsidRDefault="00531079" w:rsidP="00E714C5">
      <w:pPr>
        <w:pStyle w:val="Para"/>
        <w:widowControl/>
        <w:jc w:val="both"/>
        <w:rPr>
          <w:rFonts w:cs="Verdana"/>
          <w:color w:val="auto"/>
        </w:rPr>
      </w:pPr>
      <w:r w:rsidRPr="00E62499">
        <w:rPr>
          <w:rStyle w:val="Mc"/>
          <w:color w:val="auto"/>
        </w:rPr>
        <w:t xml:space="preserve"> A </w:t>
      </w:r>
      <w:r w:rsidRPr="00E62499">
        <w:rPr>
          <w:rFonts w:cs="Verdana"/>
          <w:color w:val="auto"/>
        </w:rPr>
        <w:t>[24] In search of the elusive intention or meaning expressed in the Regulations, it is necessary to reiterate that the object of the Regulations in general is to regulate and control foreign currency, and the object of reg 10(1</w:t>
      </w:r>
      <w:proofErr w:type="gramStart"/>
      <w:r w:rsidRPr="00E62499">
        <w:rPr>
          <w:rFonts w:cs="Verdana"/>
          <w:color w:val="auto"/>
        </w:rPr>
        <w:t>)</w:t>
      </w:r>
      <w:r w:rsidRPr="00E62499">
        <w:rPr>
          <w:rFonts w:cs="Verdana"/>
          <w:i/>
          <w:iCs/>
          <w:color w:val="auto"/>
        </w:rPr>
        <w:t>(</w:t>
      </w:r>
      <w:proofErr w:type="gramEnd"/>
      <w:r w:rsidRPr="00E62499">
        <w:rPr>
          <w:rFonts w:cs="Verdana"/>
          <w:i/>
          <w:iCs/>
          <w:color w:val="auto"/>
        </w:rPr>
        <w:t>c)</w:t>
      </w:r>
      <w:r w:rsidRPr="00E62499">
        <w:rPr>
          <w:rFonts w:cs="Verdana"/>
          <w:color w:val="auto"/>
        </w:rPr>
        <w:t xml:space="preserve"> in particular is </w:t>
      </w:r>
      <w:r w:rsidR="009A1336">
        <w:rPr>
          <w:rFonts w:cs="Verdana"/>
          <w:color w:val="auto"/>
        </w:rPr>
        <w:t>‘</w:t>
      </w:r>
      <w:r w:rsidRPr="00E62499">
        <w:rPr>
          <w:rFonts w:cs="Verdana"/>
          <w:color w:val="auto"/>
        </w:rPr>
        <w:t xml:space="preserve">to control foreign exchange in the public interest and to prevent the loss of foreign currency resources through the </w:t>
      </w:r>
      <w:r w:rsidRPr="00E62499">
        <w:rPr>
          <w:rStyle w:val="Mc"/>
          <w:color w:val="auto"/>
        </w:rPr>
        <w:t xml:space="preserve"> B </w:t>
      </w:r>
      <w:r w:rsidRPr="00E62499">
        <w:rPr>
          <w:rFonts w:cs="Verdana"/>
          <w:color w:val="auto"/>
        </w:rPr>
        <w:t xml:space="preserve"> transfer abroad of capital assets held in South Africa</w:t>
      </w:r>
      <w:r w:rsidR="009A1336">
        <w:rPr>
          <w:rFonts w:cs="Verdana"/>
          <w:color w:val="auto"/>
        </w:rPr>
        <w:t>’</w:t>
      </w:r>
      <w:r w:rsidRPr="00E62499">
        <w:rPr>
          <w:rFonts w:cs="Verdana"/>
          <w:color w:val="auto"/>
        </w:rPr>
        <w:t>.</w:t>
      </w:r>
      <w:bookmarkStart w:id="25" w:name="20114394fn25_Ref"/>
      <w:bookmarkEnd w:id="25"/>
      <w:r w:rsidR="009D3DAB">
        <w:rPr>
          <w:rStyle w:val="EndnoteReference"/>
          <w:rFonts w:cs="Verdana"/>
          <w:color w:val="auto"/>
        </w:rPr>
        <w:endnoteReference w:id="25"/>
      </w:r>
      <w:r w:rsidRPr="00E62499">
        <w:rPr>
          <w:rFonts w:cs="Verdana"/>
          <w:color w:val="auto"/>
        </w:rPr>
        <w:t xml:space="preserve"> The Regulations are, accordingly, for the public interest and not to protect any private interests. They were adopted for the sake of the Treasury and not for the sake of disgruntled or disaffected parties to a contract. This is apparent from the penalty provision. But, more importantly, it appears from </w:t>
      </w:r>
      <w:r w:rsidRPr="00E62499">
        <w:rPr>
          <w:rStyle w:val="Mc"/>
          <w:color w:val="auto"/>
        </w:rPr>
        <w:t xml:space="preserve"> C </w:t>
      </w:r>
      <w:r w:rsidRPr="00E62499">
        <w:rPr>
          <w:rFonts w:cs="Verdana"/>
          <w:color w:val="auto"/>
        </w:rPr>
        <w:t>regs 22A, 22B and 22C.</w:t>
      </w:r>
      <w:bookmarkStart w:id="26" w:name="20114394fn26_Ref"/>
      <w:bookmarkEnd w:id="26"/>
      <w:r w:rsidR="009D3DAB">
        <w:rPr>
          <w:rStyle w:val="EndnoteReference"/>
          <w:rFonts w:cs="Verdana"/>
          <w:color w:val="auto"/>
        </w:rPr>
        <w:endnoteReference w:id="26"/>
      </w:r>
      <w:r w:rsidRPr="00E62499">
        <w:rPr>
          <w:rFonts w:cs="Verdana"/>
          <w:color w:val="auto"/>
        </w:rPr>
        <w:t xml:space="preserve"> They provide that any money or goods, in respect of which a contravention has been committed, may be attached by the Treasury; these may be forfeited to the State; and any shortfall may be recovered by the Treasury from not only </w:t>
      </w:r>
      <w:r w:rsidRPr="00E62499">
        <w:rPr>
          <w:rFonts w:cs="Verdana"/>
          <w:color w:val="auto"/>
        </w:rPr>
        <w:lastRenderedPageBreak/>
        <w:t xml:space="preserve">persons involved in the commission of the offence, but also from anyone enriched or who has </w:t>
      </w:r>
      <w:r w:rsidRPr="00E62499">
        <w:rPr>
          <w:rStyle w:val="Mc"/>
          <w:color w:val="auto"/>
        </w:rPr>
        <w:t xml:space="preserve"> D </w:t>
      </w:r>
      <w:r w:rsidRPr="00E62499">
        <w:rPr>
          <w:rFonts w:cs="Verdana"/>
          <w:color w:val="auto"/>
        </w:rPr>
        <w:t xml:space="preserve"> benefited as a result thereof. To add irremediable invalidity to the transaction would amount to overkill and, as </w:t>
      </w:r>
      <w:proofErr w:type="spellStart"/>
      <w:r w:rsidRPr="00E62499">
        <w:rPr>
          <w:rFonts w:cs="Verdana"/>
          <w:color w:val="auto"/>
        </w:rPr>
        <w:t>Kriek</w:t>
      </w:r>
      <w:proofErr w:type="spellEnd"/>
      <w:r w:rsidRPr="00E62499">
        <w:rPr>
          <w:rFonts w:cs="Verdana"/>
          <w:color w:val="auto"/>
        </w:rPr>
        <w:t xml:space="preserve"> J said, it would lead to </w:t>
      </w:r>
      <w:r w:rsidR="009A1336">
        <w:rPr>
          <w:rFonts w:cs="Verdana"/>
          <w:color w:val="auto"/>
        </w:rPr>
        <w:t>‘</w:t>
      </w:r>
      <w:r w:rsidRPr="00E62499">
        <w:rPr>
          <w:rFonts w:cs="Verdana"/>
          <w:color w:val="auto"/>
        </w:rPr>
        <w:t>greater inconveniences and impropriety</w:t>
      </w:r>
      <w:r w:rsidR="009A1336">
        <w:rPr>
          <w:rFonts w:cs="Verdana"/>
          <w:color w:val="auto"/>
        </w:rPr>
        <w:t>’</w:t>
      </w:r>
      <w:r w:rsidRPr="00E62499">
        <w:rPr>
          <w:rFonts w:cs="Verdana"/>
          <w:color w:val="auto"/>
        </w:rPr>
        <w:t xml:space="preserve">, which is illustrated not only by the facts in </w:t>
      </w:r>
      <w:r w:rsidRPr="00E62499">
        <w:rPr>
          <w:rFonts w:cs="Verdana"/>
          <w:i/>
          <w:iCs/>
          <w:color w:val="auto"/>
        </w:rPr>
        <w:t>Brownlee</w:t>
      </w:r>
      <w:r w:rsidRPr="00E62499">
        <w:rPr>
          <w:rFonts w:cs="Verdana"/>
          <w:color w:val="auto"/>
        </w:rPr>
        <w:t>,</w:t>
      </w:r>
      <w:bookmarkStart w:id="27" w:name="20114394fn27_Ref"/>
      <w:bookmarkEnd w:id="27"/>
      <w:r w:rsidR="009D3DAB">
        <w:rPr>
          <w:rStyle w:val="EndnoteReference"/>
          <w:rFonts w:cs="Verdana"/>
          <w:color w:val="auto"/>
        </w:rPr>
        <w:endnoteReference w:id="27"/>
      </w:r>
      <w:r w:rsidRPr="00E62499">
        <w:rPr>
          <w:rFonts w:cs="Verdana"/>
          <w:color w:val="auto"/>
        </w:rPr>
        <w:t xml:space="preserve"> but also the facts of this case, and even those of </w:t>
      </w:r>
      <w:r w:rsidRPr="00E62499">
        <w:rPr>
          <w:rFonts w:cs="Verdana"/>
          <w:i/>
          <w:iCs/>
          <w:color w:val="auto"/>
        </w:rPr>
        <w:t xml:space="preserve">Henry v </w:t>
      </w:r>
      <w:proofErr w:type="spellStart"/>
      <w:r w:rsidRPr="00E62499">
        <w:rPr>
          <w:rFonts w:cs="Verdana"/>
          <w:i/>
          <w:iCs/>
          <w:color w:val="auto"/>
        </w:rPr>
        <w:t>Branfield</w:t>
      </w:r>
      <w:proofErr w:type="spellEnd"/>
      <w:r w:rsidRPr="00E62499">
        <w:rPr>
          <w:rFonts w:cs="Verdana"/>
          <w:color w:val="auto"/>
        </w:rPr>
        <w:t>.</w:t>
      </w:r>
      <w:bookmarkStart w:id="28" w:name="20114394fn28_Ref"/>
      <w:bookmarkEnd w:id="28"/>
      <w:r w:rsidR="009D3DAB">
        <w:rPr>
          <w:rStyle w:val="EndnoteReference"/>
          <w:rFonts w:cs="Verdana"/>
          <w:color w:val="auto"/>
        </w:rPr>
        <w:endnoteReference w:id="28"/>
      </w:r>
      <w:r w:rsidRPr="00E62499">
        <w:rPr>
          <w:rFonts w:cs="Verdana"/>
          <w:color w:val="auto"/>
        </w:rPr>
        <w:t xml:space="preserve"> In addition, transactions falling foul of the </w:t>
      </w:r>
      <w:r w:rsidRPr="00E62499">
        <w:rPr>
          <w:rStyle w:val="Mc"/>
          <w:color w:val="auto"/>
        </w:rPr>
        <w:t xml:space="preserve"> E </w:t>
      </w:r>
      <w:r w:rsidRPr="00E62499">
        <w:rPr>
          <w:rFonts w:cs="Verdana"/>
          <w:color w:val="auto"/>
        </w:rPr>
        <w:t xml:space="preserve"> Regulations do not pass De </w:t>
      </w:r>
      <w:proofErr w:type="spellStart"/>
      <w:r w:rsidRPr="00E62499">
        <w:rPr>
          <w:rFonts w:cs="Verdana"/>
          <w:color w:val="auto"/>
        </w:rPr>
        <w:t>Groot</w:t>
      </w:r>
      <w:r w:rsidR="009A1336">
        <w:rPr>
          <w:rFonts w:cs="Verdana"/>
          <w:color w:val="auto"/>
        </w:rPr>
        <w:t>’</w:t>
      </w:r>
      <w:r w:rsidRPr="00E62499">
        <w:rPr>
          <w:rFonts w:cs="Verdana"/>
          <w:color w:val="auto"/>
        </w:rPr>
        <w:t>s</w:t>
      </w:r>
      <w:proofErr w:type="spellEnd"/>
      <w:r w:rsidRPr="00E62499">
        <w:rPr>
          <w:rFonts w:cs="Verdana"/>
          <w:color w:val="auto"/>
        </w:rPr>
        <w:t xml:space="preserve"> test for invalidity.</w:t>
      </w:r>
    </w:p>
    <w:p w:rsidR="00A547DB" w:rsidRDefault="00531079" w:rsidP="00E714C5">
      <w:pPr>
        <w:pStyle w:val="Para"/>
        <w:widowControl/>
        <w:jc w:val="both"/>
        <w:rPr>
          <w:rFonts w:cs="Verdana"/>
          <w:color w:val="auto"/>
        </w:rPr>
      </w:pPr>
      <w:r w:rsidRPr="00E62499">
        <w:rPr>
          <w:rFonts w:cs="Verdana"/>
          <w:color w:val="auto"/>
        </w:rPr>
        <w:t xml:space="preserve">[25] This does not mean that in the absence of Treasury consent the transaction is enforceable without more. Parties who enter into a contract that may conceivably be hit by the Regulations are, unless the </w:t>
      </w:r>
      <w:r w:rsidRPr="00E62499">
        <w:rPr>
          <w:rStyle w:val="Mc"/>
          <w:color w:val="auto"/>
        </w:rPr>
        <w:t xml:space="preserve"> F </w:t>
      </w:r>
      <w:r w:rsidRPr="00E62499">
        <w:rPr>
          <w:rFonts w:cs="Verdana"/>
          <w:color w:val="auto"/>
        </w:rPr>
        <w:t xml:space="preserve"> contract provides otherwise (in this case it did not provide otherwise), both obliged to take the necessary steps to obtain the Treasury</w:t>
      </w:r>
      <w:r w:rsidR="009A1336">
        <w:rPr>
          <w:rFonts w:cs="Verdana"/>
          <w:color w:val="auto"/>
        </w:rPr>
        <w:t>’</w:t>
      </w:r>
      <w:r w:rsidRPr="00E62499">
        <w:rPr>
          <w:rFonts w:cs="Verdana"/>
          <w:color w:val="auto"/>
        </w:rPr>
        <w:t>s consent (something expressly agreed to by the parties). This must be so because of the supposition that the parties negotiated in good faith and intended to enter into an effective contract.</w:t>
      </w:r>
      <w:bookmarkStart w:id="29" w:name="20114394fn29_Ref"/>
      <w:bookmarkEnd w:id="29"/>
      <w:r w:rsidR="009D3DAB">
        <w:rPr>
          <w:rStyle w:val="EndnoteReference"/>
          <w:rFonts w:cs="Verdana"/>
          <w:color w:val="auto"/>
        </w:rPr>
        <w:endnoteReference w:id="29"/>
      </w:r>
      <w:r w:rsidRPr="00E62499">
        <w:rPr>
          <w:rFonts w:cs="Verdana"/>
          <w:color w:val="auto"/>
        </w:rPr>
        <w:t xml:space="preserve"> There is nothing preventing the Treasury from consenting to a transaction ex post facto, a necessary </w:t>
      </w:r>
      <w:r w:rsidRPr="00E62499">
        <w:rPr>
          <w:rStyle w:val="Mc"/>
          <w:color w:val="auto"/>
        </w:rPr>
        <w:t xml:space="preserve"> G </w:t>
      </w:r>
      <w:r w:rsidRPr="00E62499">
        <w:rPr>
          <w:rFonts w:cs="Verdana"/>
          <w:color w:val="auto"/>
        </w:rPr>
        <w:t xml:space="preserve"> corollary of the judgment in </w:t>
      </w:r>
      <w:r w:rsidRPr="00E62499">
        <w:rPr>
          <w:rFonts w:cs="Verdana"/>
          <w:i/>
          <w:iCs/>
          <w:color w:val="auto"/>
        </w:rPr>
        <w:t>Barclays National Bank Ltd v Thompson</w:t>
      </w:r>
      <w:r w:rsidRPr="00E62499">
        <w:rPr>
          <w:rFonts w:cs="Verdana"/>
          <w:color w:val="auto"/>
        </w:rPr>
        <w:t xml:space="preserve"> (supra). This means that the transaction, absent consent, is not void at the behest or election of one of the parties to it. A party faced with a claim based on a transaction which that party believes is covered by the Regulations can therefore not rely only on the lack of consent to avoid </w:t>
      </w:r>
      <w:r w:rsidRPr="00E62499">
        <w:rPr>
          <w:rStyle w:val="Mc"/>
          <w:color w:val="auto"/>
        </w:rPr>
        <w:t xml:space="preserve"> H </w:t>
      </w:r>
      <w:r w:rsidRPr="00E62499">
        <w:rPr>
          <w:rFonts w:cs="Verdana"/>
          <w:color w:val="auto"/>
        </w:rPr>
        <w:t xml:space="preserve"> the claim. The defendant may in appropriate circumstances file a</w:t>
      </w:r>
      <w:r w:rsidR="00CC59E6" w:rsidRPr="00E62499">
        <w:rPr>
          <w:rFonts w:cs="Verdana"/>
          <w:color w:val="auto"/>
        </w:rPr>
        <w:t xml:space="preserve"> </w:t>
      </w:r>
      <w:r w:rsidRPr="00E62499">
        <w:rPr>
          <w:rFonts w:cs="Verdana"/>
          <w:color w:val="auto"/>
        </w:rPr>
        <w:t xml:space="preserve">dilatory plea pending the determination by the Treasury of its application </w:t>
      </w:r>
      <w:r w:rsidRPr="00E62499">
        <w:rPr>
          <w:rStyle w:val="Mc"/>
          <w:color w:val="auto"/>
        </w:rPr>
        <w:t xml:space="preserve"> A </w:t>
      </w:r>
      <w:r w:rsidRPr="00E62499">
        <w:rPr>
          <w:rFonts w:cs="Verdana"/>
          <w:color w:val="auto"/>
        </w:rPr>
        <w:t xml:space="preserve"> for the necessary consent.</w:t>
      </w:r>
      <w:bookmarkStart w:id="30" w:name="20114394fn30_Ref"/>
      <w:bookmarkEnd w:id="30"/>
      <w:r w:rsidR="009D3DAB">
        <w:rPr>
          <w:rStyle w:val="EndnoteReference"/>
          <w:rFonts w:cs="Verdana"/>
          <w:color w:val="auto"/>
        </w:rPr>
        <w:endnoteReference w:id="30"/>
      </w:r>
      <w:r w:rsidRPr="00E62499">
        <w:rPr>
          <w:rFonts w:cs="Verdana"/>
          <w:color w:val="auto"/>
        </w:rPr>
        <w:t xml:space="preserve"> Once the Treasury refuses to grant consent, the defendant would be entitled to resist the claim on that ground. If performance took place without consent, neither party may claim restitution.</w:t>
      </w:r>
      <w:bookmarkStart w:id="31" w:name="20114394fn31_Ref"/>
      <w:bookmarkEnd w:id="31"/>
      <w:r w:rsidR="009D3DAB">
        <w:rPr>
          <w:rStyle w:val="EndnoteReference"/>
          <w:rFonts w:cs="Verdana"/>
          <w:color w:val="auto"/>
        </w:rPr>
        <w:endnoteReference w:id="31"/>
      </w:r>
      <w:r w:rsidRPr="00E62499">
        <w:rPr>
          <w:rFonts w:cs="Verdana"/>
          <w:color w:val="auto"/>
        </w:rPr>
        <w:t xml:space="preserve"> It would then be for the Treasury to invoke regs 22A, 22B and 22C to undo the effect or proposed effect of the transaction.</w:t>
      </w:r>
    </w:p>
    <w:p w:rsidR="00531079" w:rsidRPr="00E62499" w:rsidRDefault="00531079" w:rsidP="00E714C5">
      <w:pPr>
        <w:pStyle w:val="Para"/>
        <w:widowControl/>
        <w:jc w:val="both"/>
        <w:rPr>
          <w:rStyle w:val="Mc"/>
          <w:color w:val="auto"/>
        </w:rPr>
      </w:pPr>
      <w:r w:rsidRPr="00E62499">
        <w:rPr>
          <w:rStyle w:val="Mc"/>
          <w:color w:val="auto"/>
        </w:rPr>
        <w:t xml:space="preserve"> B </w:t>
      </w:r>
    </w:p>
    <w:p w:rsidR="00531079" w:rsidRPr="00E62499" w:rsidRDefault="00531079" w:rsidP="00E714C5">
      <w:pPr>
        <w:pStyle w:val="Para"/>
        <w:widowControl/>
        <w:jc w:val="both"/>
        <w:rPr>
          <w:rFonts w:cs="Verdana"/>
          <w:color w:val="auto"/>
        </w:rPr>
      </w:pPr>
      <w:r w:rsidRPr="00E62499">
        <w:rPr>
          <w:rFonts w:cs="Verdana"/>
          <w:color w:val="auto"/>
        </w:rPr>
        <w:t xml:space="preserve">[26] In the result, the appeal is dismissed with costs, including the costs of two </w:t>
      </w:r>
      <w:proofErr w:type="gramStart"/>
      <w:r w:rsidRPr="00E62499">
        <w:rPr>
          <w:rFonts w:cs="Verdana"/>
          <w:color w:val="auto"/>
        </w:rPr>
        <w:t>counsel</w:t>
      </w:r>
      <w:proofErr w:type="gramEnd"/>
      <w:r w:rsidRPr="00E62499">
        <w:rPr>
          <w:rFonts w:cs="Verdana"/>
          <w:color w:val="auto"/>
        </w:rPr>
        <w:t>.</w:t>
      </w:r>
    </w:p>
    <w:p w:rsidR="00531079" w:rsidRPr="00E62499" w:rsidRDefault="00531079" w:rsidP="00E714C5">
      <w:pPr>
        <w:pStyle w:val="Para"/>
        <w:widowControl/>
        <w:jc w:val="both"/>
        <w:rPr>
          <w:rFonts w:cs="Verdana"/>
          <w:color w:val="auto"/>
        </w:rPr>
      </w:pPr>
      <w:r w:rsidRPr="00E62499">
        <w:rPr>
          <w:rFonts w:cs="Verdana"/>
          <w:color w:val="auto"/>
        </w:rPr>
        <w:t>Appellant</w:t>
      </w:r>
      <w:r w:rsidR="009A1336">
        <w:rPr>
          <w:rFonts w:cs="Verdana"/>
          <w:color w:val="auto"/>
        </w:rPr>
        <w:t>’</w:t>
      </w:r>
      <w:r w:rsidRPr="00E62499">
        <w:rPr>
          <w:rFonts w:cs="Verdana"/>
          <w:color w:val="auto"/>
        </w:rPr>
        <w:t xml:space="preserve">s Attorneys: </w:t>
      </w:r>
      <w:r w:rsidRPr="00E62499">
        <w:rPr>
          <w:rFonts w:cs="Verdana"/>
          <w:i/>
          <w:iCs/>
          <w:color w:val="auto"/>
        </w:rPr>
        <w:t>Adams &amp; Adams</w:t>
      </w:r>
      <w:r w:rsidRPr="00E62499">
        <w:rPr>
          <w:rFonts w:cs="Verdana"/>
          <w:color w:val="auto"/>
        </w:rPr>
        <w:t xml:space="preserve">, Pretoria; </w:t>
      </w:r>
      <w:r w:rsidRPr="00E62499">
        <w:rPr>
          <w:rFonts w:cs="Verdana"/>
          <w:i/>
          <w:iCs/>
          <w:color w:val="auto"/>
        </w:rPr>
        <w:t>Honey Attorneys</w:t>
      </w:r>
      <w:r w:rsidRPr="00E62499">
        <w:rPr>
          <w:rFonts w:cs="Verdana"/>
          <w:color w:val="auto"/>
        </w:rPr>
        <w:t>, Bloemfontein.</w:t>
      </w:r>
    </w:p>
    <w:p w:rsidR="00531079" w:rsidRPr="00E62499" w:rsidRDefault="00531079" w:rsidP="00E714C5">
      <w:pPr>
        <w:pStyle w:val="Para"/>
        <w:widowControl/>
        <w:jc w:val="both"/>
        <w:rPr>
          <w:b/>
          <w:bCs/>
          <w:color w:val="auto"/>
          <w:sz w:val="24"/>
          <w:szCs w:val="24"/>
        </w:rPr>
      </w:pPr>
      <w:r w:rsidRPr="00E62499">
        <w:rPr>
          <w:rFonts w:cs="Verdana"/>
          <w:color w:val="auto"/>
        </w:rPr>
        <w:t>First and Second Respondents</w:t>
      </w:r>
      <w:r w:rsidR="009A1336">
        <w:rPr>
          <w:rFonts w:cs="Verdana"/>
          <w:color w:val="auto"/>
        </w:rPr>
        <w:t>’</w:t>
      </w:r>
      <w:r w:rsidRPr="00E62499">
        <w:rPr>
          <w:rFonts w:cs="Verdana"/>
          <w:color w:val="auto"/>
        </w:rPr>
        <w:t xml:space="preserve"> Attorneys: </w:t>
      </w:r>
      <w:r w:rsidRPr="00E62499">
        <w:rPr>
          <w:rFonts w:cs="Verdana"/>
          <w:i/>
          <w:iCs/>
          <w:color w:val="auto"/>
        </w:rPr>
        <w:t>Mark W Nixon</w:t>
      </w:r>
      <w:r w:rsidRPr="00E62499">
        <w:rPr>
          <w:rFonts w:cs="Verdana"/>
          <w:color w:val="auto"/>
        </w:rPr>
        <w:t xml:space="preserve">, Pretoria; </w:t>
      </w:r>
      <w:r w:rsidRPr="00E62499">
        <w:rPr>
          <w:rStyle w:val="Mc"/>
          <w:color w:val="auto"/>
        </w:rPr>
        <w:t xml:space="preserve"> C </w:t>
      </w:r>
      <w:r w:rsidRPr="00E62499">
        <w:rPr>
          <w:rFonts w:cs="Verdana"/>
          <w:color w:val="auto"/>
        </w:rPr>
        <w:t xml:space="preserve"> </w:t>
      </w:r>
      <w:r w:rsidRPr="00E62499">
        <w:rPr>
          <w:rFonts w:cs="Verdana"/>
          <w:i/>
          <w:iCs/>
          <w:color w:val="auto"/>
        </w:rPr>
        <w:t xml:space="preserve">Hill </w:t>
      </w:r>
      <w:proofErr w:type="spellStart"/>
      <w:r w:rsidRPr="00E62499">
        <w:rPr>
          <w:rFonts w:cs="Verdana"/>
          <w:i/>
          <w:iCs/>
          <w:color w:val="auto"/>
        </w:rPr>
        <w:t>McHardy</w:t>
      </w:r>
      <w:proofErr w:type="spellEnd"/>
      <w:r w:rsidRPr="00E62499">
        <w:rPr>
          <w:rFonts w:cs="Verdana"/>
          <w:i/>
          <w:iCs/>
          <w:color w:val="auto"/>
        </w:rPr>
        <w:t xml:space="preserve"> &amp; </w:t>
      </w:r>
      <w:proofErr w:type="spellStart"/>
      <w:r w:rsidRPr="00E62499">
        <w:rPr>
          <w:rFonts w:cs="Verdana"/>
          <w:i/>
          <w:iCs/>
          <w:color w:val="auto"/>
        </w:rPr>
        <w:t>Herbst</w:t>
      </w:r>
      <w:proofErr w:type="spellEnd"/>
      <w:r w:rsidRPr="00E62499">
        <w:rPr>
          <w:rFonts w:cs="Verdana"/>
          <w:i/>
          <w:iCs/>
          <w:color w:val="auto"/>
        </w:rPr>
        <w:t xml:space="preserve"> Inc</w:t>
      </w:r>
      <w:r w:rsidRPr="00E62499">
        <w:rPr>
          <w:rFonts w:cs="Verdana"/>
          <w:color w:val="auto"/>
        </w:rPr>
        <w:t>, Bloemfontein.</w:t>
      </w:r>
      <w:r w:rsidR="00ED5C11" w:rsidRPr="00E62499">
        <w:rPr>
          <w:b/>
          <w:bCs/>
          <w:color w:val="auto"/>
          <w:sz w:val="24"/>
          <w:szCs w:val="24"/>
        </w:rPr>
        <w:t xml:space="preserve"> </w:t>
      </w:r>
    </w:p>
    <w:sectPr w:rsidR="00531079" w:rsidRPr="00E62499" w:rsidSect="002F0449">
      <w:head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A10" w:rsidRDefault="00670A10">
      <w:r>
        <w:separator/>
      </w:r>
    </w:p>
  </w:endnote>
  <w:endnote w:type="continuationSeparator" w:id="0">
    <w:p w:rsidR="00670A10" w:rsidRDefault="00670A10">
      <w:r>
        <w:continuationSeparator/>
      </w:r>
    </w:p>
  </w:endnote>
  <w:endnote w:id="1">
    <w:p w:rsidR="00670A10" w:rsidRPr="00E62499" w:rsidRDefault="00670A10" w:rsidP="00B70FBE">
      <w:pPr>
        <w:pStyle w:val="FNoteText"/>
        <w:widowControl/>
        <w:tabs>
          <w:tab w:val="left" w:pos="284"/>
        </w:tabs>
        <w:spacing w:before="0"/>
        <w:rPr>
          <w:rStyle w:val="FNPopup"/>
          <w:color w:val="auto"/>
        </w:rPr>
      </w:pPr>
      <w:r>
        <w:rPr>
          <w:rStyle w:val="EndnoteReference"/>
        </w:rPr>
        <w:endnoteRef/>
      </w:r>
      <w:r>
        <w:t xml:space="preserve"> </w:t>
      </w:r>
      <w:r w:rsidRPr="00E62499">
        <w:rPr>
          <w:rStyle w:val="FNPopup"/>
          <w:color w:val="auto"/>
        </w:rPr>
        <w:t>The whole of reg 10(1) reads as follows:</w:t>
      </w:r>
    </w:p>
    <w:p w:rsidR="00670A10" w:rsidRPr="00E62499" w:rsidRDefault="00670A10" w:rsidP="00B70FBE">
      <w:pPr>
        <w:pStyle w:val="FNoteText"/>
        <w:widowControl/>
        <w:spacing w:before="0"/>
        <w:rPr>
          <w:rStyle w:val="FNPopup"/>
          <w:b/>
          <w:bCs/>
          <w:color w:val="auto"/>
        </w:rPr>
      </w:pPr>
      <w:r w:rsidRPr="00E62499">
        <w:rPr>
          <w:rStyle w:val="FNPopup"/>
          <w:b/>
          <w:bCs/>
          <w:color w:val="auto"/>
        </w:rPr>
        <w:t>'Restriction on export of capital</w:t>
      </w:r>
    </w:p>
    <w:p w:rsidR="00670A10" w:rsidRPr="00E62499" w:rsidRDefault="00670A10" w:rsidP="00B70FBE">
      <w:pPr>
        <w:pStyle w:val="FNoteText"/>
        <w:widowControl/>
        <w:spacing w:before="0"/>
        <w:ind w:firstLine="284"/>
        <w:rPr>
          <w:rStyle w:val="FNPopup"/>
          <w:color w:val="auto"/>
        </w:rPr>
      </w:pPr>
      <w:r w:rsidRPr="00E62499">
        <w:rPr>
          <w:rStyle w:val="FNPopup"/>
          <w:color w:val="auto"/>
        </w:rPr>
        <w:t>(1) No person shall, except with permission granted by the Treasury and in accordance with such conditions as the Treasury may impose:</w:t>
      </w:r>
    </w:p>
    <w:p w:rsidR="00670A10" w:rsidRPr="00E62499" w:rsidRDefault="00670A10" w:rsidP="00B70FBE">
      <w:pPr>
        <w:pStyle w:val="FNoteText"/>
        <w:widowControl/>
        <w:tabs>
          <w:tab w:val="left" w:pos="709"/>
        </w:tabs>
        <w:spacing w:before="0"/>
        <w:ind w:left="709" w:hanging="425"/>
        <w:rPr>
          <w:rStyle w:val="FNPopup"/>
          <w:color w:val="auto"/>
        </w:rPr>
      </w:pPr>
      <w:r w:rsidRPr="00E62499">
        <w:rPr>
          <w:rStyle w:val="FNPopup"/>
          <w:i/>
          <w:iCs/>
          <w:color w:val="auto"/>
        </w:rPr>
        <w:t>(a)</w:t>
      </w:r>
      <w:r w:rsidRPr="00E62499">
        <w:rPr>
          <w:rStyle w:val="FNPopup"/>
          <w:i/>
          <w:iCs/>
          <w:color w:val="auto"/>
        </w:rPr>
        <w:tab/>
      </w:r>
      <w:r w:rsidRPr="00E62499">
        <w:rPr>
          <w:rStyle w:val="FNPopup"/>
          <w:color w:val="auto"/>
        </w:rPr>
        <w:t>export from the Republic during any period of twelve months a total quantity of goods which exceeds in value twenty rand or such greater amount as the Treasury may determine, if:</w:t>
      </w:r>
    </w:p>
    <w:p w:rsidR="00670A10" w:rsidRPr="00E62499" w:rsidRDefault="00670A10" w:rsidP="00B70FBE">
      <w:pPr>
        <w:pStyle w:val="FNoteText"/>
        <w:widowControl/>
        <w:tabs>
          <w:tab w:val="left" w:pos="1134"/>
        </w:tabs>
        <w:spacing w:before="0"/>
        <w:ind w:left="1134" w:hanging="425"/>
        <w:rPr>
          <w:rStyle w:val="FNPopup"/>
          <w:color w:val="auto"/>
        </w:rPr>
      </w:pPr>
      <w:r w:rsidRPr="00E62499">
        <w:rPr>
          <w:rStyle w:val="FNPopup"/>
          <w:color w:val="auto"/>
        </w:rPr>
        <w:t>(</w:t>
      </w:r>
      <w:proofErr w:type="spellStart"/>
      <w:r w:rsidRPr="00E62499">
        <w:rPr>
          <w:rStyle w:val="FNPopup"/>
          <w:color w:val="auto"/>
        </w:rPr>
        <w:t>i</w:t>
      </w:r>
      <w:proofErr w:type="spellEnd"/>
      <w:r w:rsidRPr="00E62499">
        <w:rPr>
          <w:rStyle w:val="FNPopup"/>
          <w:color w:val="auto"/>
        </w:rPr>
        <w:t>)</w:t>
      </w:r>
      <w:r w:rsidRPr="00E62499">
        <w:rPr>
          <w:rStyle w:val="FNPopup"/>
          <w:color w:val="auto"/>
        </w:rPr>
        <w:tab/>
        <w:t>no payment for such goods has been or is to be received in the Republic from a person outside the Republic; or</w:t>
      </w:r>
    </w:p>
    <w:p w:rsidR="00670A10" w:rsidRPr="00E62499" w:rsidRDefault="00670A10" w:rsidP="00B70FBE">
      <w:pPr>
        <w:pStyle w:val="FNoteText"/>
        <w:widowControl/>
        <w:tabs>
          <w:tab w:val="left" w:pos="1134"/>
        </w:tabs>
        <w:spacing w:before="0"/>
        <w:ind w:left="1134" w:hanging="425"/>
        <w:rPr>
          <w:rStyle w:val="FNPopup"/>
          <w:color w:val="auto"/>
        </w:rPr>
      </w:pPr>
      <w:r w:rsidRPr="00E62499">
        <w:rPr>
          <w:rStyle w:val="FNPopup"/>
          <w:color w:val="auto"/>
        </w:rPr>
        <w:t>(ii)</w:t>
      </w:r>
      <w:r w:rsidRPr="00E62499">
        <w:rPr>
          <w:rStyle w:val="FNPopup"/>
          <w:color w:val="auto"/>
        </w:rPr>
        <w:tab/>
        <w:t>such goods are exported at a price which is less than the value thereof; or</w:t>
      </w:r>
    </w:p>
    <w:p w:rsidR="00670A10" w:rsidRPr="00E62499" w:rsidRDefault="00670A10" w:rsidP="00B70FBE">
      <w:pPr>
        <w:pStyle w:val="FNoteText"/>
        <w:widowControl/>
        <w:tabs>
          <w:tab w:val="left" w:pos="1134"/>
        </w:tabs>
        <w:spacing w:before="0"/>
        <w:ind w:left="1134" w:hanging="425"/>
        <w:rPr>
          <w:rStyle w:val="FNPopup"/>
          <w:color w:val="auto"/>
        </w:rPr>
      </w:pPr>
      <w:r w:rsidRPr="00E62499">
        <w:rPr>
          <w:rStyle w:val="FNPopup"/>
          <w:color w:val="auto"/>
        </w:rPr>
        <w:t>(iii)</w:t>
      </w:r>
      <w:r w:rsidRPr="00E62499">
        <w:rPr>
          <w:rStyle w:val="FNPopup"/>
          <w:color w:val="auto"/>
        </w:rPr>
        <w:tab/>
        <w:t>the period within which payment for such goods is to be made exceeds six months from the date of shipment from the Republic or such shorter period as an authorised dealer may determine in respect of such goods;</w:t>
      </w:r>
    </w:p>
    <w:p w:rsidR="00670A10" w:rsidRPr="00E62499" w:rsidRDefault="00670A10" w:rsidP="00B70FBE">
      <w:pPr>
        <w:pStyle w:val="FNoteText"/>
        <w:widowControl/>
        <w:tabs>
          <w:tab w:val="left" w:pos="709"/>
        </w:tabs>
        <w:spacing w:before="0"/>
        <w:ind w:left="709" w:hanging="425"/>
        <w:rPr>
          <w:rStyle w:val="FNPopup"/>
          <w:color w:val="auto"/>
        </w:rPr>
      </w:pPr>
      <w:r w:rsidRPr="00E62499">
        <w:rPr>
          <w:rStyle w:val="FNPopup"/>
          <w:i/>
          <w:iCs/>
          <w:color w:val="auto"/>
        </w:rPr>
        <w:t>(b)</w:t>
      </w:r>
      <w:r w:rsidRPr="00E62499">
        <w:rPr>
          <w:rStyle w:val="FNPopup"/>
          <w:i/>
          <w:iCs/>
          <w:color w:val="auto"/>
        </w:rPr>
        <w:tab/>
      </w:r>
      <w:r w:rsidRPr="00E62499">
        <w:rPr>
          <w:rStyle w:val="FNPopup"/>
          <w:color w:val="auto"/>
        </w:rPr>
        <w:t>take out of the Republic goods, including personal apparel, household effects, and jewellery which have a value in excess of six hundred rand or of such greater amount as the Treasury may determine;</w:t>
      </w:r>
    </w:p>
    <w:p w:rsidR="00670A10" w:rsidRDefault="00670A10" w:rsidP="00ED5C11">
      <w:pPr>
        <w:pStyle w:val="FNoteText"/>
        <w:widowControl/>
        <w:tabs>
          <w:tab w:val="left" w:pos="709"/>
        </w:tabs>
        <w:spacing w:before="0"/>
        <w:ind w:left="709" w:hanging="425"/>
      </w:pPr>
      <w:r w:rsidRPr="00E62499">
        <w:rPr>
          <w:rStyle w:val="FNPopup"/>
          <w:i/>
          <w:iCs/>
          <w:color w:val="auto"/>
        </w:rPr>
        <w:t>(c)</w:t>
      </w:r>
      <w:r w:rsidRPr="00E62499">
        <w:rPr>
          <w:rStyle w:val="FNPopup"/>
          <w:i/>
          <w:iCs/>
          <w:color w:val="auto"/>
        </w:rPr>
        <w:tab/>
      </w:r>
      <w:proofErr w:type="gramStart"/>
      <w:r w:rsidRPr="00E62499">
        <w:rPr>
          <w:rStyle w:val="FNPopup"/>
          <w:color w:val="auto"/>
        </w:rPr>
        <w:t>enter</w:t>
      </w:r>
      <w:proofErr w:type="gramEnd"/>
      <w:r w:rsidRPr="00E62499">
        <w:rPr>
          <w:rStyle w:val="FNPopup"/>
          <w:color w:val="auto"/>
        </w:rPr>
        <w:t xml:space="preserve"> into any transaction whereby capital or any right to capital is directly or indirectly exported from the Republic.'</w:t>
      </w:r>
    </w:p>
  </w:endnote>
  <w:endnote w:id="2">
    <w:p w:rsidR="00670A10" w:rsidRDefault="00670A10" w:rsidP="00B70FBE">
      <w:pPr>
        <w:pStyle w:val="EndnoteText"/>
      </w:pPr>
      <w:r>
        <w:rPr>
          <w:rStyle w:val="EndnoteReference"/>
        </w:rPr>
        <w:endnoteRef/>
      </w:r>
      <w:r>
        <w:t xml:space="preserve"> </w:t>
      </w:r>
      <w:r w:rsidRPr="00E62499">
        <w:rPr>
          <w:rStyle w:val="FNPopup"/>
          <w:color w:val="auto"/>
        </w:rPr>
        <w:t>It is debatable whether all of s 9 would survive constitutional scrutiny — and I refer specifically to s 9(3) which empowers the head of State to suspend any Act of Parliament by means of regulation — but that is by way of an aside.</w:t>
      </w:r>
    </w:p>
  </w:endnote>
  <w:endnote w:id="3">
    <w:p w:rsidR="00670A10" w:rsidRDefault="00670A10" w:rsidP="00B70FBE">
      <w:pPr>
        <w:pStyle w:val="EndnoteText"/>
      </w:pPr>
      <w:r>
        <w:rPr>
          <w:rStyle w:val="EndnoteReference"/>
        </w:rPr>
        <w:endnoteRef/>
      </w:r>
      <w:r>
        <w:t xml:space="preserve"> </w:t>
      </w:r>
      <w:proofErr w:type="gramStart"/>
      <w:r w:rsidRPr="00E62499">
        <w:rPr>
          <w:rStyle w:val="FNPopup"/>
          <w:color w:val="auto"/>
        </w:rPr>
        <w:t>At 430E–H.</w:t>
      </w:r>
      <w:proofErr w:type="gramEnd"/>
    </w:p>
  </w:endnote>
  <w:endnote w:id="4">
    <w:p w:rsidR="00670A10" w:rsidRDefault="00670A10" w:rsidP="00B70FBE">
      <w:pPr>
        <w:pStyle w:val="EndnoteText"/>
      </w:pPr>
      <w:r>
        <w:rPr>
          <w:rStyle w:val="EndnoteReference"/>
        </w:rPr>
        <w:endnoteRef/>
      </w:r>
      <w:r>
        <w:t xml:space="preserve"> </w:t>
      </w:r>
      <w:proofErr w:type="spellStart"/>
      <w:proofErr w:type="gramStart"/>
      <w:r w:rsidRPr="00E62499">
        <w:rPr>
          <w:rStyle w:val="FNPopup"/>
          <w:i/>
          <w:iCs/>
          <w:color w:val="auto"/>
        </w:rPr>
        <w:t>Suid-Afrikaanse</w:t>
      </w:r>
      <w:proofErr w:type="spellEnd"/>
      <w:r w:rsidRPr="00E62499">
        <w:rPr>
          <w:rStyle w:val="FNPopup"/>
          <w:i/>
          <w:iCs/>
          <w:color w:val="auto"/>
        </w:rPr>
        <w:t xml:space="preserve"> </w:t>
      </w:r>
      <w:proofErr w:type="spellStart"/>
      <w:r w:rsidRPr="00E62499">
        <w:rPr>
          <w:rStyle w:val="FNPopup"/>
          <w:i/>
          <w:iCs/>
          <w:color w:val="auto"/>
        </w:rPr>
        <w:t>Valutabeheerwetgewing</w:t>
      </w:r>
      <w:proofErr w:type="spellEnd"/>
      <w:r w:rsidRPr="00E62499">
        <w:rPr>
          <w:rStyle w:val="FNPopup"/>
          <w:color w:val="auto"/>
        </w:rPr>
        <w:t xml:space="preserve"> (1991) p 68–9.</w:t>
      </w:r>
      <w:proofErr w:type="gramEnd"/>
    </w:p>
  </w:endnote>
  <w:endnote w:id="5">
    <w:p w:rsidR="00670A10" w:rsidRDefault="00670A10" w:rsidP="00B70FBE">
      <w:pPr>
        <w:pStyle w:val="EndnoteText"/>
      </w:pPr>
      <w:r>
        <w:rPr>
          <w:rStyle w:val="EndnoteReference"/>
        </w:rPr>
        <w:endnoteRef/>
      </w:r>
      <w:r>
        <w:t xml:space="preserve"> </w:t>
      </w:r>
      <w:proofErr w:type="gramStart"/>
      <w:r w:rsidRPr="00E62499">
        <w:rPr>
          <w:rStyle w:val="FNPopup"/>
          <w:i/>
          <w:iCs/>
          <w:color w:val="auto"/>
        </w:rPr>
        <w:t>Incorporated Interests Pty Ltd v The Federal Commissioner of Taxation</w:t>
      </w:r>
      <w:r w:rsidRPr="00E62499">
        <w:rPr>
          <w:rStyle w:val="FNPopup"/>
          <w:color w:val="auto"/>
        </w:rPr>
        <w:t xml:space="preserve"> (1943) 67 CLR 508 at 515.</w:t>
      </w:r>
      <w:proofErr w:type="gramEnd"/>
    </w:p>
  </w:endnote>
  <w:endnote w:id="6">
    <w:p w:rsidR="00670A10" w:rsidRDefault="00670A10" w:rsidP="00B70FBE">
      <w:pPr>
        <w:pStyle w:val="EndnoteText"/>
      </w:pPr>
      <w:r>
        <w:rPr>
          <w:rStyle w:val="EndnoteReference"/>
        </w:rPr>
        <w:endnoteRef/>
      </w:r>
      <w:r>
        <w:t xml:space="preserve"> </w:t>
      </w:r>
      <w:r w:rsidRPr="00E62499">
        <w:rPr>
          <w:rStyle w:val="FNPopup"/>
          <w:i/>
          <w:iCs/>
          <w:color w:val="auto"/>
        </w:rPr>
        <w:t>Lubbock v British Bank of South America</w:t>
      </w:r>
      <w:r w:rsidRPr="00E62499">
        <w:rPr>
          <w:rStyle w:val="FNPopup"/>
          <w:color w:val="auto"/>
        </w:rPr>
        <w:t xml:space="preserve"> [1892] 2 Ch 198 ([1891–4] All ER Rep Ext 1753) at 202, quoted by John B Saunders </w:t>
      </w:r>
      <w:r w:rsidRPr="00E62499">
        <w:rPr>
          <w:rStyle w:val="FNPopup"/>
          <w:i/>
          <w:iCs/>
          <w:color w:val="auto"/>
        </w:rPr>
        <w:t>Words and Phrases Legally Defined</w:t>
      </w:r>
      <w:r w:rsidRPr="00E62499">
        <w:rPr>
          <w:rStyle w:val="FNPopup"/>
          <w:color w:val="auto"/>
        </w:rPr>
        <w:t xml:space="preserve"> 3 </w:t>
      </w:r>
      <w:proofErr w:type="spellStart"/>
      <w:r w:rsidRPr="00E62499">
        <w:rPr>
          <w:rStyle w:val="FNPopup"/>
          <w:color w:val="auto"/>
        </w:rPr>
        <w:t>ed</w:t>
      </w:r>
      <w:proofErr w:type="spellEnd"/>
      <w:r w:rsidRPr="00E62499">
        <w:rPr>
          <w:rStyle w:val="FNPopup"/>
          <w:color w:val="auto"/>
        </w:rPr>
        <w:t xml:space="preserve"> (1988) </w:t>
      </w:r>
      <w:proofErr w:type="spellStart"/>
      <w:r w:rsidRPr="00E62499">
        <w:rPr>
          <w:rStyle w:val="FNPopup"/>
          <w:color w:val="auto"/>
        </w:rPr>
        <w:t>sv</w:t>
      </w:r>
      <w:proofErr w:type="spellEnd"/>
      <w:r w:rsidRPr="00E62499">
        <w:rPr>
          <w:rStyle w:val="FNPopup"/>
          <w:color w:val="auto"/>
        </w:rPr>
        <w:t xml:space="preserve"> 'capital'.</w:t>
      </w:r>
    </w:p>
  </w:endnote>
  <w:endnote w:id="7">
    <w:p w:rsidR="00670A10" w:rsidRPr="00E62499" w:rsidRDefault="00670A10" w:rsidP="0068764E">
      <w:pPr>
        <w:pStyle w:val="FNoteText"/>
        <w:widowControl/>
        <w:tabs>
          <w:tab w:val="left" w:pos="284"/>
        </w:tabs>
        <w:spacing w:before="0"/>
        <w:rPr>
          <w:rStyle w:val="FNPopup"/>
          <w:color w:val="auto"/>
        </w:rPr>
      </w:pPr>
      <w:r>
        <w:rPr>
          <w:rStyle w:val="EndnoteReference"/>
        </w:rPr>
        <w:endnoteRef/>
      </w:r>
      <w:r>
        <w:tab/>
      </w:r>
      <w:r w:rsidRPr="00E62499">
        <w:rPr>
          <w:rStyle w:val="FNPopup"/>
          <w:color w:val="auto"/>
        </w:rPr>
        <w:t>"'</w:t>
      </w:r>
      <w:r w:rsidRPr="0068764E">
        <w:rPr>
          <w:rStyle w:val="FNPopup"/>
          <w:b/>
          <w:color w:val="auto"/>
        </w:rPr>
        <w:t>Affected person</w:t>
      </w:r>
      <w:r w:rsidRPr="00E62499">
        <w:rPr>
          <w:rStyle w:val="FNPopup"/>
          <w:color w:val="auto"/>
        </w:rPr>
        <w:t>" means a body corporate, foundation, trust or partnership operating in the Republic, or an estate, in respect of which —</w:t>
      </w:r>
    </w:p>
    <w:p w:rsidR="00670A10" w:rsidRPr="00E62499" w:rsidRDefault="00670A10" w:rsidP="00F94741">
      <w:pPr>
        <w:pStyle w:val="FNoteText"/>
        <w:widowControl/>
        <w:spacing w:before="0"/>
        <w:ind w:left="567" w:hanging="284"/>
        <w:rPr>
          <w:rStyle w:val="FNPopup"/>
          <w:color w:val="auto"/>
        </w:rPr>
      </w:pPr>
      <w:r w:rsidRPr="00E62499">
        <w:rPr>
          <w:rStyle w:val="FNPopup"/>
          <w:color w:val="auto"/>
        </w:rPr>
        <w:t>(</w:t>
      </w:r>
      <w:proofErr w:type="spellStart"/>
      <w:r w:rsidRPr="00E62499">
        <w:rPr>
          <w:rStyle w:val="FNPopup"/>
          <w:color w:val="auto"/>
        </w:rPr>
        <w:t>i</w:t>
      </w:r>
      <w:proofErr w:type="spellEnd"/>
      <w:r w:rsidRPr="00E62499">
        <w:rPr>
          <w:rStyle w:val="FNPopup"/>
          <w:color w:val="auto"/>
        </w:rPr>
        <w:t>)</w:t>
      </w:r>
      <w:r w:rsidRPr="00E62499">
        <w:rPr>
          <w:rStyle w:val="FNPopup"/>
          <w:color w:val="auto"/>
        </w:rPr>
        <w:tab/>
        <w:t>75 per cent or more of the capital, assets or earnings thereof may be utilised for payment to, or to the benefit in any manner of, any person who is not resident in the Republic; or</w:t>
      </w:r>
    </w:p>
    <w:p w:rsidR="00670A10" w:rsidRDefault="00670A10" w:rsidP="00F94741">
      <w:pPr>
        <w:pStyle w:val="EndnoteText"/>
        <w:ind w:left="567" w:hanging="284"/>
      </w:pPr>
      <w:r w:rsidRPr="00E62499">
        <w:rPr>
          <w:rStyle w:val="FNPopup"/>
          <w:color w:val="auto"/>
        </w:rPr>
        <w:t>(ii)</w:t>
      </w:r>
      <w:r w:rsidRPr="00E62499">
        <w:rPr>
          <w:rStyle w:val="FNPopup"/>
          <w:color w:val="auto"/>
        </w:rPr>
        <w:tab/>
        <w:t>75 per cent or more of the voting securities, voting power, power of control, capital, assets or earnings thereof, are directly or indirectly vested in, or controlled by or on behalf of, any person who is not resident in the Republic.'</w:t>
      </w:r>
    </w:p>
  </w:endnote>
  <w:endnote w:id="8">
    <w:p w:rsidR="00670A10" w:rsidRDefault="00670A10" w:rsidP="00B70FBE">
      <w:pPr>
        <w:pStyle w:val="EndnoteText"/>
      </w:pPr>
      <w:r>
        <w:rPr>
          <w:rStyle w:val="EndnoteReference"/>
        </w:rPr>
        <w:endnoteRef/>
      </w:r>
      <w:r>
        <w:t xml:space="preserve"> </w:t>
      </w:r>
      <w:r w:rsidRPr="00E62499">
        <w:rPr>
          <w:rStyle w:val="FNPopup"/>
          <w:color w:val="auto"/>
        </w:rPr>
        <w:t xml:space="preserve">LC </w:t>
      </w:r>
      <w:proofErr w:type="spellStart"/>
      <w:r w:rsidRPr="00E62499">
        <w:rPr>
          <w:rStyle w:val="FNPopup"/>
          <w:color w:val="auto"/>
        </w:rPr>
        <w:t>Steyn</w:t>
      </w:r>
      <w:proofErr w:type="spellEnd"/>
      <w:r w:rsidRPr="00E62499">
        <w:rPr>
          <w:rStyle w:val="FNPopup"/>
          <w:color w:val="auto"/>
        </w:rPr>
        <w:t xml:space="preserve"> </w:t>
      </w:r>
      <w:r w:rsidRPr="00E62499">
        <w:rPr>
          <w:rStyle w:val="FNPopup"/>
          <w:i/>
          <w:iCs/>
          <w:color w:val="auto"/>
        </w:rPr>
        <w:t xml:space="preserve">Die </w:t>
      </w:r>
      <w:proofErr w:type="spellStart"/>
      <w:r w:rsidRPr="00E62499">
        <w:rPr>
          <w:rStyle w:val="FNPopup"/>
          <w:i/>
          <w:iCs/>
          <w:color w:val="auto"/>
        </w:rPr>
        <w:t>Uitleg</w:t>
      </w:r>
      <w:proofErr w:type="spellEnd"/>
      <w:r w:rsidRPr="00E62499">
        <w:rPr>
          <w:rStyle w:val="FNPopup"/>
          <w:i/>
          <w:iCs/>
          <w:color w:val="auto"/>
        </w:rPr>
        <w:t xml:space="preserve"> van </w:t>
      </w:r>
      <w:proofErr w:type="spellStart"/>
      <w:r w:rsidRPr="00E62499">
        <w:rPr>
          <w:rStyle w:val="FNPopup"/>
          <w:i/>
          <w:iCs/>
          <w:color w:val="auto"/>
        </w:rPr>
        <w:t>Wette</w:t>
      </w:r>
      <w:proofErr w:type="spellEnd"/>
      <w:r w:rsidRPr="00E62499">
        <w:rPr>
          <w:rStyle w:val="FNPopup"/>
          <w:color w:val="auto"/>
        </w:rPr>
        <w:t xml:space="preserve"> 5 </w:t>
      </w:r>
      <w:proofErr w:type="spellStart"/>
      <w:proofErr w:type="gramStart"/>
      <w:r w:rsidRPr="00E62499">
        <w:rPr>
          <w:rStyle w:val="FNPopup"/>
          <w:color w:val="auto"/>
        </w:rPr>
        <w:t>ed</w:t>
      </w:r>
      <w:proofErr w:type="spellEnd"/>
      <w:proofErr w:type="gramEnd"/>
      <w:r w:rsidRPr="00E62499">
        <w:rPr>
          <w:rStyle w:val="FNPopup"/>
          <w:color w:val="auto"/>
        </w:rPr>
        <w:t xml:space="preserve"> p 143, with reference to </w:t>
      </w:r>
      <w:r w:rsidRPr="00E62499">
        <w:rPr>
          <w:rStyle w:val="FNPopup"/>
          <w:i/>
          <w:iCs/>
          <w:color w:val="auto"/>
        </w:rPr>
        <w:t xml:space="preserve">R v </w:t>
      </w:r>
      <w:proofErr w:type="spellStart"/>
      <w:r w:rsidRPr="00E62499">
        <w:rPr>
          <w:rStyle w:val="FNPopup"/>
          <w:i/>
          <w:iCs/>
          <w:color w:val="auto"/>
        </w:rPr>
        <w:t>Shoolman</w:t>
      </w:r>
      <w:proofErr w:type="spellEnd"/>
      <w:r w:rsidRPr="00E62499">
        <w:rPr>
          <w:rStyle w:val="FNPopup"/>
          <w:color w:val="auto"/>
        </w:rPr>
        <w:t xml:space="preserve"> 1937 CPD 183 at 186–187.</w:t>
      </w:r>
    </w:p>
  </w:endnote>
  <w:endnote w:id="9">
    <w:p w:rsidR="00670A10" w:rsidRDefault="00670A10" w:rsidP="00B70FBE">
      <w:pPr>
        <w:pStyle w:val="EndnoteText"/>
      </w:pPr>
      <w:r>
        <w:rPr>
          <w:rStyle w:val="EndnoteReference"/>
        </w:rPr>
        <w:endnoteRef/>
      </w:r>
      <w:r>
        <w:t xml:space="preserve"> </w:t>
      </w:r>
      <w:proofErr w:type="gramStart"/>
      <w:r w:rsidRPr="00E62499">
        <w:rPr>
          <w:rStyle w:val="FNPopup"/>
          <w:i/>
          <w:iCs/>
          <w:color w:val="auto"/>
        </w:rPr>
        <w:t>Gallo Africa Ltd and Others v Sting Music (Pty) Ltd and Others</w:t>
      </w:r>
      <w:r w:rsidRPr="00E62499">
        <w:rPr>
          <w:rStyle w:val="FNPopup"/>
          <w:color w:val="auto"/>
        </w:rPr>
        <w:t xml:space="preserve"> 2010 (6) SA 329 (SCA).</w:t>
      </w:r>
      <w:proofErr w:type="gramEnd"/>
    </w:p>
  </w:endnote>
  <w:endnote w:id="10">
    <w:p w:rsidR="00670A10" w:rsidRDefault="00670A10" w:rsidP="00B70FBE">
      <w:pPr>
        <w:pStyle w:val="EndnoteText"/>
      </w:pPr>
      <w:r>
        <w:rPr>
          <w:rStyle w:val="EndnoteReference"/>
        </w:rPr>
        <w:endnoteRef/>
      </w:r>
      <w:r>
        <w:t xml:space="preserve"> </w:t>
      </w:r>
      <w:proofErr w:type="gramStart"/>
      <w:r w:rsidRPr="00E62499">
        <w:rPr>
          <w:rStyle w:val="FNPopup"/>
          <w:color w:val="auto"/>
        </w:rPr>
        <w:t>At 433B–C.</w:t>
      </w:r>
      <w:proofErr w:type="gramEnd"/>
    </w:p>
  </w:endnote>
  <w:endnote w:id="11">
    <w:p w:rsidR="00670A10" w:rsidRDefault="00670A10" w:rsidP="00B70FBE">
      <w:pPr>
        <w:pStyle w:val="EndnoteText"/>
      </w:pPr>
      <w:r>
        <w:rPr>
          <w:rStyle w:val="EndnoteReference"/>
        </w:rPr>
        <w:endnoteRef/>
      </w:r>
      <w:r>
        <w:t xml:space="preserve"> </w:t>
      </w:r>
      <w:proofErr w:type="gramStart"/>
      <w:r w:rsidRPr="00E62499">
        <w:rPr>
          <w:rStyle w:val="FNPopup"/>
          <w:color w:val="auto"/>
        </w:rPr>
        <w:t xml:space="preserve">Patents Act 57 of 1978 </w:t>
      </w:r>
      <w:proofErr w:type="spellStart"/>
      <w:r w:rsidRPr="00E62499">
        <w:rPr>
          <w:rStyle w:val="FNPopup"/>
          <w:color w:val="auto"/>
        </w:rPr>
        <w:t>ss</w:t>
      </w:r>
      <w:proofErr w:type="spellEnd"/>
      <w:r w:rsidRPr="00E62499">
        <w:rPr>
          <w:rStyle w:val="FNPopup"/>
          <w:color w:val="auto"/>
        </w:rPr>
        <w:t xml:space="preserve"> 44 and 45.</w:t>
      </w:r>
      <w:proofErr w:type="gramEnd"/>
    </w:p>
  </w:endnote>
  <w:endnote w:id="12">
    <w:p w:rsidR="00670A10" w:rsidRDefault="00670A10" w:rsidP="00B70FBE">
      <w:pPr>
        <w:pStyle w:val="EndnoteText"/>
      </w:pPr>
      <w:r>
        <w:rPr>
          <w:rStyle w:val="EndnoteReference"/>
        </w:rPr>
        <w:endnoteRef/>
      </w:r>
      <w:r>
        <w:t xml:space="preserve"> </w:t>
      </w:r>
      <w:proofErr w:type="gramStart"/>
      <w:r w:rsidRPr="00E62499">
        <w:rPr>
          <w:rStyle w:val="FNPopup"/>
          <w:i/>
          <w:iCs/>
          <w:color w:val="auto"/>
        </w:rPr>
        <w:t xml:space="preserve">A-Team </w:t>
      </w:r>
      <w:proofErr w:type="spellStart"/>
      <w:r w:rsidRPr="00E62499">
        <w:rPr>
          <w:rStyle w:val="FNPopup"/>
          <w:i/>
          <w:iCs/>
          <w:color w:val="auto"/>
        </w:rPr>
        <w:t>Drankwinkel</w:t>
      </w:r>
      <w:proofErr w:type="spellEnd"/>
      <w:r w:rsidRPr="00E62499">
        <w:rPr>
          <w:rStyle w:val="FNPopup"/>
          <w:i/>
          <w:iCs/>
          <w:color w:val="auto"/>
        </w:rPr>
        <w:t xml:space="preserve"> BK en 'n Ander v Botha en 'n Ander NNO</w:t>
      </w:r>
      <w:r w:rsidRPr="00E62499">
        <w:rPr>
          <w:rStyle w:val="FNPopup"/>
          <w:color w:val="auto"/>
        </w:rPr>
        <w:t xml:space="preserve"> 1994 (1) SA 1 (A) at 11B–E.</w:t>
      </w:r>
      <w:proofErr w:type="gramEnd"/>
    </w:p>
  </w:endnote>
  <w:endnote w:id="13">
    <w:p w:rsidR="00670A10" w:rsidRDefault="00670A10" w:rsidP="00B70FBE">
      <w:pPr>
        <w:pStyle w:val="EndnoteText"/>
      </w:pPr>
      <w:r>
        <w:rPr>
          <w:rStyle w:val="EndnoteReference"/>
        </w:rPr>
        <w:endnoteRef/>
      </w:r>
      <w:r>
        <w:t xml:space="preserve"> </w:t>
      </w:r>
      <w:proofErr w:type="gramStart"/>
      <w:r w:rsidRPr="00E62499">
        <w:rPr>
          <w:rStyle w:val="FNPopup"/>
          <w:color w:val="auto"/>
        </w:rPr>
        <w:t>At 528D–E.</w:t>
      </w:r>
      <w:proofErr w:type="gramEnd"/>
    </w:p>
  </w:endnote>
  <w:endnote w:id="14">
    <w:p w:rsidR="00670A10" w:rsidRDefault="00670A10" w:rsidP="00B70FBE">
      <w:pPr>
        <w:pStyle w:val="EndnoteText"/>
      </w:pPr>
      <w:r>
        <w:rPr>
          <w:rStyle w:val="EndnoteReference"/>
        </w:rPr>
        <w:endnoteRef/>
      </w:r>
      <w:r>
        <w:t xml:space="preserve"> </w:t>
      </w:r>
      <w:proofErr w:type="spellStart"/>
      <w:proofErr w:type="gramStart"/>
      <w:r w:rsidRPr="00E62499">
        <w:rPr>
          <w:rStyle w:val="FNPopup"/>
          <w:i/>
          <w:iCs/>
          <w:color w:val="auto"/>
        </w:rPr>
        <w:t>Nestel</w:t>
      </w:r>
      <w:proofErr w:type="spellEnd"/>
      <w:r w:rsidRPr="00E62499">
        <w:rPr>
          <w:rStyle w:val="FNPopup"/>
          <w:i/>
          <w:iCs/>
          <w:color w:val="auto"/>
        </w:rPr>
        <w:t xml:space="preserve"> v National and </w:t>
      </w:r>
      <w:proofErr w:type="spellStart"/>
      <w:r w:rsidRPr="00E62499">
        <w:rPr>
          <w:rStyle w:val="FNPopup"/>
          <w:i/>
          <w:iCs/>
          <w:color w:val="auto"/>
        </w:rPr>
        <w:t>Grindlays</w:t>
      </w:r>
      <w:proofErr w:type="spellEnd"/>
      <w:r w:rsidRPr="00E62499">
        <w:rPr>
          <w:rStyle w:val="FNPopup"/>
          <w:i/>
          <w:iCs/>
          <w:color w:val="auto"/>
        </w:rPr>
        <w:t xml:space="preserve"> Bank Ltd</w:t>
      </w:r>
      <w:r w:rsidRPr="00E62499">
        <w:rPr>
          <w:rStyle w:val="FNPopup"/>
          <w:color w:val="auto"/>
        </w:rPr>
        <w:t xml:space="preserve"> 1962 (2) SA 390 (A) at 395H–396A.</w:t>
      </w:r>
      <w:proofErr w:type="gramEnd"/>
    </w:p>
  </w:endnote>
  <w:endnote w:id="15">
    <w:p w:rsidR="00670A10" w:rsidRDefault="00670A10" w:rsidP="00B70FBE">
      <w:pPr>
        <w:pStyle w:val="EndnoteText"/>
      </w:pPr>
      <w:r>
        <w:rPr>
          <w:rStyle w:val="EndnoteReference"/>
        </w:rPr>
        <w:endnoteRef/>
      </w:r>
      <w:r>
        <w:t xml:space="preserve"> </w:t>
      </w:r>
      <w:r w:rsidRPr="00E62499">
        <w:rPr>
          <w:rStyle w:val="FNPopup"/>
          <w:i/>
          <w:iCs/>
          <w:color w:val="auto"/>
        </w:rPr>
        <w:t xml:space="preserve">S v </w:t>
      </w:r>
      <w:proofErr w:type="spellStart"/>
      <w:r w:rsidRPr="00E62499">
        <w:rPr>
          <w:rStyle w:val="FNPopup"/>
          <w:i/>
          <w:iCs/>
          <w:color w:val="auto"/>
        </w:rPr>
        <w:t>Katsikaris</w:t>
      </w:r>
      <w:proofErr w:type="spellEnd"/>
      <w:r w:rsidRPr="00E62499">
        <w:rPr>
          <w:rStyle w:val="FNPopup"/>
          <w:color w:val="auto"/>
        </w:rPr>
        <w:t xml:space="preserve"> 1980 (3) SA 580 (A) at 590A; also quoted by </w:t>
      </w:r>
      <w:proofErr w:type="spellStart"/>
      <w:r w:rsidRPr="00E62499">
        <w:rPr>
          <w:rStyle w:val="FNPopup"/>
          <w:color w:val="auto"/>
        </w:rPr>
        <w:t>Kriek</w:t>
      </w:r>
      <w:proofErr w:type="spellEnd"/>
      <w:r w:rsidRPr="00E62499">
        <w:rPr>
          <w:rStyle w:val="FNPopup"/>
          <w:color w:val="auto"/>
        </w:rPr>
        <w:t xml:space="preserve"> J in </w:t>
      </w:r>
      <w:r w:rsidRPr="00E62499">
        <w:rPr>
          <w:rStyle w:val="FNPopup"/>
          <w:i/>
          <w:iCs/>
          <w:color w:val="auto"/>
        </w:rPr>
        <w:t>Barclays National Bank Ltd v Brownlee</w:t>
      </w:r>
      <w:r w:rsidRPr="00E62499">
        <w:rPr>
          <w:rStyle w:val="FNPopup"/>
          <w:color w:val="auto"/>
        </w:rPr>
        <w:t xml:space="preserve"> 1981 (3) SA 579 (D) at 584A.</w:t>
      </w:r>
    </w:p>
  </w:endnote>
  <w:endnote w:id="16">
    <w:p w:rsidR="00670A10" w:rsidRPr="00E62499" w:rsidRDefault="00670A10" w:rsidP="00B70FBE">
      <w:pPr>
        <w:pStyle w:val="FNoteText"/>
        <w:widowControl/>
        <w:tabs>
          <w:tab w:val="left" w:pos="426"/>
        </w:tabs>
        <w:spacing w:before="0"/>
        <w:rPr>
          <w:rStyle w:val="FNPopup"/>
          <w:color w:val="auto"/>
        </w:rPr>
      </w:pPr>
      <w:r w:rsidRPr="00B70FBE">
        <w:rPr>
          <w:rStyle w:val="EndnoteReference"/>
          <w:sz w:val="20"/>
          <w:szCs w:val="20"/>
        </w:rPr>
        <w:endnoteRef/>
      </w:r>
      <w:r>
        <w:t xml:space="preserve"> </w:t>
      </w:r>
      <w:r w:rsidRPr="00E62499">
        <w:rPr>
          <w:rStyle w:val="FNPopup"/>
          <w:color w:val="auto"/>
        </w:rPr>
        <w:t>It reads:</w:t>
      </w:r>
    </w:p>
    <w:p w:rsidR="00670A10" w:rsidRPr="00E62499" w:rsidRDefault="00670A10" w:rsidP="00B70FBE">
      <w:pPr>
        <w:pStyle w:val="FNoteText"/>
        <w:widowControl/>
        <w:spacing w:before="0"/>
        <w:ind w:left="284" w:firstLine="284"/>
        <w:rPr>
          <w:rStyle w:val="FNPopup"/>
          <w:color w:val="auto"/>
        </w:rPr>
      </w:pPr>
      <w:r w:rsidRPr="00E62499">
        <w:rPr>
          <w:rStyle w:val="FNPopup"/>
          <w:color w:val="auto"/>
        </w:rPr>
        <w:t>'(1) Subject to any exemption which may be granted by the Treasury or a person authorised by the Treasury, no person shall, without permission granted by the Treasury or a person authorised by the Treasury and in accordance with such conditions as the Treasury or such authorised person may impose —</w:t>
      </w:r>
    </w:p>
    <w:p w:rsidR="00670A10" w:rsidRPr="00E62499" w:rsidRDefault="00670A10" w:rsidP="00B70FBE">
      <w:pPr>
        <w:pStyle w:val="FNoteText"/>
        <w:widowControl/>
        <w:spacing w:before="0"/>
        <w:rPr>
          <w:rStyle w:val="FNPopup"/>
          <w:color w:val="auto"/>
        </w:rPr>
      </w:pPr>
      <w:r w:rsidRPr="00E62499">
        <w:rPr>
          <w:color w:val="auto"/>
          <w:sz w:val="24"/>
          <w:szCs w:val="24"/>
        </w:rPr>
        <w:tab/>
      </w:r>
      <w:r w:rsidRPr="00E62499">
        <w:rPr>
          <w:rStyle w:val="FNPopup"/>
          <w:color w:val="auto"/>
        </w:rPr>
        <w:t>. . .</w:t>
      </w:r>
    </w:p>
    <w:p w:rsidR="00670A10" w:rsidRDefault="00670A10" w:rsidP="00B70FBE">
      <w:pPr>
        <w:pStyle w:val="EndnoteText"/>
        <w:tabs>
          <w:tab w:val="left" w:pos="709"/>
        </w:tabs>
        <w:ind w:left="709" w:hanging="425"/>
      </w:pPr>
      <w:r w:rsidRPr="00E62499">
        <w:rPr>
          <w:rStyle w:val="FNPopup"/>
          <w:i/>
          <w:iCs/>
          <w:color w:val="auto"/>
        </w:rPr>
        <w:t>(c)</w:t>
      </w:r>
      <w:r w:rsidRPr="00E62499">
        <w:rPr>
          <w:rStyle w:val="FNPopup"/>
          <w:i/>
          <w:iCs/>
          <w:color w:val="auto"/>
        </w:rPr>
        <w:tab/>
      </w:r>
      <w:proofErr w:type="gramStart"/>
      <w:r w:rsidRPr="00E62499">
        <w:rPr>
          <w:rStyle w:val="FNPopup"/>
          <w:color w:val="auto"/>
        </w:rPr>
        <w:t>make</w:t>
      </w:r>
      <w:proofErr w:type="gramEnd"/>
      <w:r w:rsidRPr="00E62499">
        <w:rPr>
          <w:rStyle w:val="FNPopup"/>
          <w:color w:val="auto"/>
        </w:rPr>
        <w:t xml:space="preserve"> any payment to, or in favour, or on behalf of a person resident outside the Republic, or place any sum to the credit of such person . . . .'</w:t>
      </w:r>
    </w:p>
  </w:endnote>
  <w:endnote w:id="17">
    <w:p w:rsidR="00670A10" w:rsidRDefault="00670A10" w:rsidP="00B70FBE">
      <w:pPr>
        <w:pStyle w:val="EndnoteText"/>
      </w:pPr>
      <w:r>
        <w:rPr>
          <w:rStyle w:val="EndnoteReference"/>
        </w:rPr>
        <w:endnoteRef/>
      </w:r>
      <w:r>
        <w:t xml:space="preserve"> </w:t>
      </w:r>
      <w:proofErr w:type="gramStart"/>
      <w:r w:rsidRPr="00E62499">
        <w:rPr>
          <w:rStyle w:val="FNPopup"/>
          <w:i/>
          <w:iCs/>
          <w:color w:val="auto"/>
        </w:rPr>
        <w:t>Barclays National Bank Ltd v Thompson</w:t>
      </w:r>
      <w:r w:rsidRPr="00E62499">
        <w:rPr>
          <w:rStyle w:val="FNPopup"/>
          <w:color w:val="auto"/>
        </w:rPr>
        <w:t xml:space="preserve"> 1985 (3) SA 778 (A) at 795I–J.</w:t>
      </w:r>
      <w:proofErr w:type="gramEnd"/>
    </w:p>
  </w:endnote>
  <w:endnote w:id="18">
    <w:p w:rsidR="00670A10" w:rsidRDefault="00670A10" w:rsidP="00B70FBE">
      <w:pPr>
        <w:pStyle w:val="EndnoteText"/>
      </w:pPr>
      <w:r>
        <w:rPr>
          <w:rStyle w:val="EndnoteReference"/>
        </w:rPr>
        <w:endnoteRef/>
      </w:r>
      <w:r>
        <w:t xml:space="preserve"> </w:t>
      </w:r>
      <w:proofErr w:type="gramStart"/>
      <w:r w:rsidRPr="00E62499">
        <w:rPr>
          <w:rStyle w:val="FNPopup"/>
          <w:color w:val="auto"/>
        </w:rPr>
        <w:t>At 583B–F.</w:t>
      </w:r>
      <w:proofErr w:type="gramEnd"/>
    </w:p>
  </w:endnote>
  <w:endnote w:id="19">
    <w:p w:rsidR="00670A10" w:rsidRDefault="00670A10" w:rsidP="00B70FBE">
      <w:pPr>
        <w:pStyle w:val="EndnoteText"/>
      </w:pPr>
      <w:r>
        <w:rPr>
          <w:rStyle w:val="EndnoteReference"/>
        </w:rPr>
        <w:endnoteRef/>
      </w:r>
      <w:r>
        <w:t xml:space="preserve"> </w:t>
      </w:r>
      <w:proofErr w:type="gramStart"/>
      <w:r w:rsidRPr="00E62499">
        <w:rPr>
          <w:rStyle w:val="FNPopup"/>
          <w:color w:val="auto"/>
        </w:rPr>
        <w:t>At 583F–H.</w:t>
      </w:r>
      <w:proofErr w:type="gramEnd"/>
    </w:p>
  </w:endnote>
  <w:endnote w:id="20">
    <w:p w:rsidR="00670A10" w:rsidRDefault="00670A10" w:rsidP="00B70FBE">
      <w:pPr>
        <w:pStyle w:val="EndnoteText"/>
      </w:pPr>
      <w:r>
        <w:rPr>
          <w:rStyle w:val="EndnoteReference"/>
        </w:rPr>
        <w:endnoteRef/>
      </w:r>
      <w:r>
        <w:t xml:space="preserve"> </w:t>
      </w:r>
      <w:proofErr w:type="gramStart"/>
      <w:r w:rsidRPr="00E62499">
        <w:rPr>
          <w:rStyle w:val="FNPopup"/>
          <w:color w:val="auto"/>
        </w:rPr>
        <w:t>At 584E–F.</w:t>
      </w:r>
      <w:proofErr w:type="gramEnd"/>
    </w:p>
  </w:endnote>
  <w:endnote w:id="21">
    <w:p w:rsidR="00670A10" w:rsidRDefault="00670A10" w:rsidP="00B70FBE">
      <w:pPr>
        <w:pStyle w:val="EndnoteText"/>
      </w:pPr>
      <w:r>
        <w:rPr>
          <w:rStyle w:val="EndnoteReference"/>
        </w:rPr>
        <w:endnoteRef/>
      </w:r>
      <w:r>
        <w:t xml:space="preserve"> </w:t>
      </w:r>
      <w:proofErr w:type="gramStart"/>
      <w:r w:rsidRPr="00E62499">
        <w:rPr>
          <w:rStyle w:val="FNPopup"/>
          <w:color w:val="auto"/>
        </w:rPr>
        <w:t>At 584H.</w:t>
      </w:r>
      <w:proofErr w:type="gramEnd"/>
    </w:p>
  </w:endnote>
  <w:endnote w:id="22">
    <w:p w:rsidR="00670A10" w:rsidRDefault="00670A10" w:rsidP="00B70FBE">
      <w:pPr>
        <w:pStyle w:val="EndnoteText"/>
      </w:pPr>
      <w:r>
        <w:rPr>
          <w:rStyle w:val="EndnoteReference"/>
        </w:rPr>
        <w:endnoteRef/>
      </w:r>
      <w:r>
        <w:t xml:space="preserve"> </w:t>
      </w:r>
      <w:proofErr w:type="gramStart"/>
      <w:r w:rsidRPr="00E62499">
        <w:rPr>
          <w:rStyle w:val="FNPopup"/>
          <w:color w:val="auto"/>
        </w:rPr>
        <w:t>At 250B–D.</w:t>
      </w:r>
      <w:proofErr w:type="gramEnd"/>
    </w:p>
  </w:endnote>
  <w:endnote w:id="23">
    <w:p w:rsidR="00670A10" w:rsidRDefault="00670A10" w:rsidP="00B70FBE">
      <w:pPr>
        <w:pStyle w:val="EndnoteText"/>
      </w:pPr>
      <w:r>
        <w:rPr>
          <w:rStyle w:val="EndnoteReference"/>
        </w:rPr>
        <w:endnoteRef/>
      </w:r>
      <w:r>
        <w:t xml:space="preserve"> </w:t>
      </w:r>
      <w:proofErr w:type="gramStart"/>
      <w:r w:rsidRPr="00E62499">
        <w:rPr>
          <w:rStyle w:val="FNPopup"/>
          <w:color w:val="auto"/>
        </w:rPr>
        <w:t>At 438C–D.</w:t>
      </w:r>
      <w:proofErr w:type="gramEnd"/>
    </w:p>
  </w:endnote>
  <w:endnote w:id="24">
    <w:p w:rsidR="00670A10" w:rsidRDefault="00670A10" w:rsidP="00B70FBE">
      <w:pPr>
        <w:pStyle w:val="EndnoteText"/>
      </w:pPr>
      <w:r>
        <w:rPr>
          <w:rStyle w:val="EndnoteReference"/>
        </w:rPr>
        <w:endnoteRef/>
      </w:r>
      <w:r>
        <w:t xml:space="preserve"> </w:t>
      </w:r>
      <w:proofErr w:type="gramStart"/>
      <w:r w:rsidRPr="00E62499">
        <w:rPr>
          <w:rStyle w:val="FNPopup"/>
          <w:i/>
          <w:iCs/>
          <w:color w:val="auto"/>
        </w:rPr>
        <w:t xml:space="preserve">Pratt v </w:t>
      </w:r>
      <w:proofErr w:type="spellStart"/>
      <w:r w:rsidRPr="00E62499">
        <w:rPr>
          <w:rStyle w:val="FNPopup"/>
          <w:i/>
          <w:iCs/>
          <w:color w:val="auto"/>
        </w:rPr>
        <w:t>Firstrand</w:t>
      </w:r>
      <w:proofErr w:type="spellEnd"/>
      <w:r w:rsidRPr="00E62499">
        <w:rPr>
          <w:rStyle w:val="FNPopup"/>
          <w:i/>
          <w:iCs/>
          <w:color w:val="auto"/>
        </w:rPr>
        <w:t xml:space="preserve"> Bank Ltd and Another</w:t>
      </w:r>
      <w:r w:rsidRPr="00E62499">
        <w:rPr>
          <w:rStyle w:val="FNPopup"/>
          <w:color w:val="auto"/>
        </w:rPr>
        <w:t xml:space="preserve"> [2004] 4 All SA 306 (T).</w:t>
      </w:r>
      <w:proofErr w:type="gramEnd"/>
      <w:r w:rsidRPr="00E62499">
        <w:rPr>
          <w:rStyle w:val="FNPopup"/>
          <w:color w:val="auto"/>
        </w:rPr>
        <w:t xml:space="preserve"> The judgment dealt with an exception. During the subsequent trial it was found that the lack of consent had not been established. This finding was upheld on appeal: </w:t>
      </w:r>
      <w:r w:rsidRPr="00E62499">
        <w:rPr>
          <w:rStyle w:val="FNPopup"/>
          <w:i/>
          <w:iCs/>
          <w:color w:val="auto"/>
        </w:rPr>
        <w:t>Pratt v First Rand Bank</w:t>
      </w:r>
      <w:r w:rsidRPr="00E62499">
        <w:rPr>
          <w:rStyle w:val="FNPopup"/>
          <w:color w:val="auto"/>
        </w:rPr>
        <w:t xml:space="preserve"> 2009 (2) SA 119 (SCA) ([2009] 1 All SA 158).</w:t>
      </w:r>
    </w:p>
  </w:endnote>
  <w:endnote w:id="25">
    <w:p w:rsidR="00670A10" w:rsidRDefault="00670A10" w:rsidP="00B70FBE">
      <w:pPr>
        <w:pStyle w:val="EndnoteText"/>
      </w:pPr>
      <w:r>
        <w:rPr>
          <w:rStyle w:val="EndnoteReference"/>
        </w:rPr>
        <w:endnoteRef/>
      </w:r>
      <w:r>
        <w:t xml:space="preserve"> </w:t>
      </w:r>
      <w:proofErr w:type="spellStart"/>
      <w:proofErr w:type="gramStart"/>
      <w:r w:rsidRPr="00E62499">
        <w:rPr>
          <w:rStyle w:val="FNPopup"/>
          <w:i/>
          <w:iCs/>
          <w:color w:val="auto"/>
        </w:rPr>
        <w:t>Berzack</w:t>
      </w:r>
      <w:proofErr w:type="spellEnd"/>
      <w:r w:rsidRPr="00E62499">
        <w:rPr>
          <w:rStyle w:val="FNPopup"/>
          <w:i/>
          <w:iCs/>
          <w:color w:val="auto"/>
        </w:rPr>
        <w:t xml:space="preserve"> v Nedcor Bank Ltd</w:t>
      </w:r>
      <w:r w:rsidRPr="00E62499">
        <w:rPr>
          <w:rStyle w:val="FNPopup"/>
          <w:color w:val="auto"/>
        </w:rPr>
        <w:t xml:space="preserve"> [2001] 1 All SA 410 (SCA) </w:t>
      </w:r>
      <w:proofErr w:type="spellStart"/>
      <w:r w:rsidRPr="00E62499">
        <w:rPr>
          <w:rStyle w:val="FNPopup"/>
          <w:color w:val="auto"/>
        </w:rPr>
        <w:t>para</w:t>
      </w:r>
      <w:proofErr w:type="spellEnd"/>
      <w:r w:rsidRPr="00E62499">
        <w:rPr>
          <w:rStyle w:val="FNPopup"/>
          <w:color w:val="auto"/>
        </w:rPr>
        <w:t xml:space="preserve"> 3.</w:t>
      </w:r>
      <w:proofErr w:type="gramEnd"/>
    </w:p>
  </w:endnote>
  <w:endnote w:id="26">
    <w:p w:rsidR="00670A10" w:rsidRDefault="00670A10" w:rsidP="00B70FBE">
      <w:pPr>
        <w:pStyle w:val="EndnoteText"/>
      </w:pPr>
      <w:r>
        <w:rPr>
          <w:rStyle w:val="EndnoteReference"/>
        </w:rPr>
        <w:endnoteRef/>
      </w:r>
      <w:r>
        <w:t xml:space="preserve"> </w:t>
      </w:r>
      <w:proofErr w:type="gramStart"/>
      <w:r w:rsidRPr="00E62499">
        <w:rPr>
          <w:rStyle w:val="FNPopup"/>
          <w:i/>
          <w:iCs/>
          <w:color w:val="auto"/>
        </w:rPr>
        <w:t>South African Reserve Bank v Torwood Properties (Pty) Ltd</w:t>
      </w:r>
      <w:r w:rsidRPr="00E62499">
        <w:rPr>
          <w:rStyle w:val="FNPopup"/>
          <w:color w:val="auto"/>
        </w:rPr>
        <w:t xml:space="preserve"> 1997 (2) SA 169 (A); </w:t>
      </w:r>
      <w:r w:rsidRPr="00E62499">
        <w:rPr>
          <w:rStyle w:val="FNPopup"/>
          <w:i/>
          <w:iCs/>
          <w:color w:val="auto"/>
        </w:rPr>
        <w:t xml:space="preserve">South African Reserve Bank v </w:t>
      </w:r>
      <w:proofErr w:type="spellStart"/>
      <w:r w:rsidRPr="00E62499">
        <w:rPr>
          <w:rStyle w:val="FNPopup"/>
          <w:i/>
          <w:iCs/>
          <w:color w:val="auto"/>
        </w:rPr>
        <w:t>Khumalo</w:t>
      </w:r>
      <w:proofErr w:type="spellEnd"/>
      <w:r w:rsidRPr="00E62499">
        <w:rPr>
          <w:rStyle w:val="FNPopup"/>
          <w:i/>
          <w:iCs/>
          <w:color w:val="auto"/>
        </w:rPr>
        <w:t xml:space="preserve"> and Another</w:t>
      </w:r>
      <w:r w:rsidRPr="00E62499">
        <w:rPr>
          <w:rStyle w:val="FNPopup"/>
          <w:color w:val="auto"/>
        </w:rPr>
        <w:t xml:space="preserve"> 2010 (5) SA 449 (SCA) ([2011] 1 All SA 26).</w:t>
      </w:r>
      <w:proofErr w:type="gramEnd"/>
    </w:p>
  </w:endnote>
  <w:endnote w:id="27">
    <w:p w:rsidR="00670A10" w:rsidRDefault="00670A10" w:rsidP="00B70FBE">
      <w:pPr>
        <w:pStyle w:val="EndnoteText"/>
      </w:pPr>
      <w:r>
        <w:rPr>
          <w:rStyle w:val="EndnoteReference"/>
        </w:rPr>
        <w:endnoteRef/>
      </w:r>
      <w:r>
        <w:t xml:space="preserve"> </w:t>
      </w:r>
      <w:proofErr w:type="gramStart"/>
      <w:r w:rsidRPr="00E62499">
        <w:rPr>
          <w:rStyle w:val="FNPopup"/>
          <w:i/>
          <w:iCs/>
          <w:color w:val="auto"/>
        </w:rPr>
        <w:t>Brownlee</w:t>
      </w:r>
      <w:r w:rsidRPr="00E62499">
        <w:rPr>
          <w:rStyle w:val="FNPopup"/>
          <w:color w:val="auto"/>
        </w:rPr>
        <w:t xml:space="preserve"> at 584H.</w:t>
      </w:r>
      <w:proofErr w:type="gramEnd"/>
      <w:r w:rsidRPr="00E62499">
        <w:rPr>
          <w:rStyle w:val="FNPopup"/>
          <w:color w:val="auto"/>
        </w:rPr>
        <w:t xml:space="preserve"> But see for a different view: </w:t>
      </w:r>
      <w:r w:rsidRPr="00E62499">
        <w:rPr>
          <w:rStyle w:val="FNPopup"/>
          <w:i/>
          <w:iCs/>
          <w:color w:val="auto"/>
        </w:rPr>
        <w:t xml:space="preserve">Pratt v </w:t>
      </w:r>
      <w:proofErr w:type="spellStart"/>
      <w:r w:rsidRPr="00E62499">
        <w:rPr>
          <w:rStyle w:val="FNPopup"/>
          <w:i/>
          <w:iCs/>
          <w:color w:val="auto"/>
        </w:rPr>
        <w:t>Firstrand</w:t>
      </w:r>
      <w:proofErr w:type="spellEnd"/>
      <w:r w:rsidRPr="00E62499">
        <w:rPr>
          <w:rStyle w:val="FNPopup"/>
          <w:i/>
          <w:iCs/>
          <w:color w:val="auto"/>
        </w:rPr>
        <w:t xml:space="preserve"> Bank Ltd</w:t>
      </w:r>
      <w:r w:rsidRPr="00E62499">
        <w:rPr>
          <w:rStyle w:val="FNPopup"/>
          <w:color w:val="auto"/>
        </w:rPr>
        <w:t xml:space="preserve"> [2004] 4 All SA 306 (T) </w:t>
      </w:r>
      <w:proofErr w:type="spellStart"/>
      <w:r w:rsidRPr="00E62499">
        <w:rPr>
          <w:rStyle w:val="FNPopup"/>
          <w:color w:val="auto"/>
        </w:rPr>
        <w:t>para</w:t>
      </w:r>
      <w:proofErr w:type="spellEnd"/>
      <w:r w:rsidRPr="00E62499">
        <w:rPr>
          <w:rStyle w:val="FNPopup"/>
          <w:color w:val="auto"/>
        </w:rPr>
        <w:t xml:space="preserve"> 48.</w:t>
      </w:r>
    </w:p>
  </w:endnote>
  <w:endnote w:id="28">
    <w:p w:rsidR="00670A10" w:rsidRDefault="00670A10" w:rsidP="00B70FBE">
      <w:pPr>
        <w:pStyle w:val="EndnoteText"/>
      </w:pPr>
      <w:r>
        <w:rPr>
          <w:rStyle w:val="EndnoteReference"/>
        </w:rPr>
        <w:endnoteRef/>
      </w:r>
      <w:r>
        <w:t xml:space="preserve"> </w:t>
      </w:r>
      <w:r w:rsidRPr="00E62499">
        <w:rPr>
          <w:rStyle w:val="FNPopup"/>
          <w:color w:val="auto"/>
        </w:rPr>
        <w:t xml:space="preserve">For a critical analysis of the facts: 1996 </w:t>
      </w:r>
      <w:r w:rsidRPr="00E62499">
        <w:rPr>
          <w:rStyle w:val="FNPopup"/>
          <w:i/>
          <w:iCs/>
          <w:color w:val="auto"/>
        </w:rPr>
        <w:t>Annual Survey of SA Law</w:t>
      </w:r>
      <w:r w:rsidRPr="00E62499">
        <w:rPr>
          <w:rStyle w:val="FNPopup"/>
          <w:color w:val="auto"/>
        </w:rPr>
        <w:t xml:space="preserve"> 205–6.</w:t>
      </w:r>
    </w:p>
  </w:endnote>
  <w:endnote w:id="29">
    <w:p w:rsidR="00670A10" w:rsidRDefault="00670A10" w:rsidP="00B70FBE">
      <w:pPr>
        <w:pStyle w:val="EndnoteText"/>
      </w:pPr>
      <w:r>
        <w:rPr>
          <w:rStyle w:val="EndnoteReference"/>
        </w:rPr>
        <w:endnoteRef/>
      </w:r>
      <w:r>
        <w:t xml:space="preserve"> </w:t>
      </w:r>
      <w:proofErr w:type="gramStart"/>
      <w:r w:rsidRPr="00E62499">
        <w:rPr>
          <w:rStyle w:val="FNPopup"/>
          <w:i/>
          <w:iCs/>
          <w:color w:val="auto"/>
        </w:rPr>
        <w:t>South African Forestry Co Ltd v York Timbers Ltd</w:t>
      </w:r>
      <w:r w:rsidRPr="00E62499">
        <w:rPr>
          <w:rStyle w:val="FNPopup"/>
          <w:color w:val="auto"/>
        </w:rPr>
        <w:t xml:space="preserve"> 2005 (3) SA 323 (SCA) ([2004] 4 All SA 168) </w:t>
      </w:r>
      <w:proofErr w:type="spellStart"/>
      <w:r w:rsidRPr="00E62499">
        <w:rPr>
          <w:rStyle w:val="FNPopup"/>
          <w:color w:val="auto"/>
        </w:rPr>
        <w:t>para</w:t>
      </w:r>
      <w:proofErr w:type="spellEnd"/>
      <w:r w:rsidRPr="00E62499">
        <w:rPr>
          <w:rStyle w:val="FNPopup"/>
          <w:color w:val="auto"/>
        </w:rPr>
        <w:t xml:space="preserve"> 32.</w:t>
      </w:r>
      <w:proofErr w:type="gramEnd"/>
    </w:p>
  </w:endnote>
  <w:endnote w:id="30">
    <w:p w:rsidR="00670A10" w:rsidRPr="009D3DAB" w:rsidRDefault="00670A10" w:rsidP="00B70FBE">
      <w:pPr>
        <w:pStyle w:val="FNoteText"/>
        <w:widowControl/>
        <w:tabs>
          <w:tab w:val="left" w:pos="426"/>
        </w:tabs>
        <w:spacing w:before="0"/>
      </w:pPr>
      <w:r>
        <w:rPr>
          <w:rStyle w:val="EndnoteReference"/>
        </w:rPr>
        <w:endnoteRef/>
      </w:r>
      <w:r>
        <w:t xml:space="preserve"> </w:t>
      </w:r>
      <w:r w:rsidRPr="00E62499">
        <w:rPr>
          <w:rStyle w:val="FNPopup"/>
          <w:color w:val="auto"/>
        </w:rPr>
        <w:t>A dilatory plea will not be possible, for instance, under reg 3(1</w:t>
      </w:r>
      <w:proofErr w:type="gramStart"/>
      <w:r w:rsidRPr="00E62499">
        <w:rPr>
          <w:rStyle w:val="FNPopup"/>
          <w:color w:val="auto"/>
        </w:rPr>
        <w:t>)</w:t>
      </w:r>
      <w:r w:rsidRPr="00E62499">
        <w:rPr>
          <w:rStyle w:val="FNPopup"/>
          <w:i/>
          <w:iCs/>
          <w:color w:val="auto"/>
        </w:rPr>
        <w:t>(</w:t>
      </w:r>
      <w:proofErr w:type="gramEnd"/>
      <w:r w:rsidRPr="00E62499">
        <w:rPr>
          <w:rStyle w:val="FNPopup"/>
          <w:i/>
          <w:iCs/>
          <w:color w:val="auto"/>
        </w:rPr>
        <w:t>c)</w:t>
      </w:r>
      <w:r w:rsidRPr="00E62499">
        <w:rPr>
          <w:rStyle w:val="FNPopup"/>
          <w:color w:val="auto"/>
        </w:rPr>
        <w:t xml:space="preserve"> as was held in </w:t>
      </w:r>
      <w:r w:rsidRPr="00E62499">
        <w:rPr>
          <w:rStyle w:val="FNPopup"/>
          <w:i/>
          <w:iCs/>
          <w:color w:val="auto"/>
        </w:rPr>
        <w:t>Barclays National Bank Ltd v Thompson</w:t>
      </w:r>
      <w:r w:rsidRPr="00E62499">
        <w:rPr>
          <w:rStyle w:val="FNPopup"/>
          <w:color w:val="auto"/>
        </w:rPr>
        <w:t xml:space="preserve"> supra</w:t>
      </w:r>
      <w:r w:rsidRPr="00E62499">
        <w:rPr>
          <w:rStyle w:val="FNPopup"/>
          <w:i/>
          <w:iCs/>
          <w:color w:val="auto"/>
        </w:rPr>
        <w:t>.</w:t>
      </w:r>
    </w:p>
  </w:endnote>
  <w:endnote w:id="31">
    <w:p w:rsidR="00670A10" w:rsidRPr="00E62499" w:rsidRDefault="00670A10" w:rsidP="00B70FBE">
      <w:pPr>
        <w:pStyle w:val="FNoteText"/>
        <w:widowControl/>
        <w:tabs>
          <w:tab w:val="left" w:pos="426"/>
        </w:tabs>
        <w:spacing w:before="0"/>
        <w:rPr>
          <w:rStyle w:val="FNPopup"/>
          <w:color w:val="auto"/>
        </w:rPr>
      </w:pPr>
      <w:r>
        <w:rPr>
          <w:rStyle w:val="EndnoteReference"/>
        </w:rPr>
        <w:endnoteRef/>
      </w:r>
      <w:r>
        <w:t xml:space="preserve"> </w:t>
      </w:r>
      <w:r w:rsidRPr="00E62499">
        <w:rPr>
          <w:rStyle w:val="FNPopup"/>
          <w:color w:val="auto"/>
        </w:rPr>
        <w:t xml:space="preserve">Compare </w:t>
      </w:r>
      <w:proofErr w:type="spellStart"/>
      <w:r w:rsidRPr="00E62499">
        <w:rPr>
          <w:rStyle w:val="FNPopup"/>
          <w:i/>
          <w:iCs/>
          <w:color w:val="auto"/>
        </w:rPr>
        <w:t>Afrisure</w:t>
      </w:r>
      <w:proofErr w:type="spellEnd"/>
      <w:r w:rsidRPr="00E62499">
        <w:rPr>
          <w:rStyle w:val="FNPopup"/>
          <w:i/>
          <w:iCs/>
          <w:color w:val="auto"/>
        </w:rPr>
        <w:t xml:space="preserve"> CC and Another v Watson NO and </w:t>
      </w:r>
      <w:proofErr w:type="gramStart"/>
      <w:r w:rsidRPr="00E62499">
        <w:rPr>
          <w:rStyle w:val="FNPopup"/>
          <w:i/>
          <w:iCs/>
          <w:color w:val="auto"/>
        </w:rPr>
        <w:t>Another</w:t>
      </w:r>
      <w:proofErr w:type="gramEnd"/>
      <w:r w:rsidRPr="00E62499">
        <w:rPr>
          <w:rStyle w:val="FNPopup"/>
          <w:color w:val="auto"/>
        </w:rPr>
        <w:t xml:space="preserve"> 2009 (2) SA 127 (SCA) paras 45–47. Oilwell's argument that its claim was not one for restitution — relying on </w:t>
      </w:r>
      <w:r w:rsidRPr="00E62499">
        <w:rPr>
          <w:rStyle w:val="FNPopup"/>
          <w:i/>
          <w:iCs/>
          <w:color w:val="auto"/>
        </w:rPr>
        <w:t xml:space="preserve">Botha v </w:t>
      </w:r>
      <w:proofErr w:type="spellStart"/>
      <w:r w:rsidRPr="00E62499">
        <w:rPr>
          <w:rStyle w:val="FNPopup"/>
          <w:i/>
          <w:iCs/>
          <w:color w:val="auto"/>
        </w:rPr>
        <w:t>Fick</w:t>
      </w:r>
      <w:proofErr w:type="spellEnd"/>
      <w:r w:rsidRPr="00E62499">
        <w:rPr>
          <w:rStyle w:val="FNPopup"/>
          <w:color w:val="auto"/>
        </w:rPr>
        <w:t xml:space="preserve"> 1995 (2) SA 750 (A) — is not acceptable. Its underlying cause of action, based on the alleged invalidity of the assignment, remained an enrichment action as was recognised in </w:t>
      </w:r>
      <w:r w:rsidRPr="00E62499">
        <w:rPr>
          <w:rStyle w:val="FNPopup"/>
          <w:i/>
          <w:iCs/>
          <w:color w:val="auto"/>
        </w:rPr>
        <w:t xml:space="preserve">Henry v </w:t>
      </w:r>
      <w:proofErr w:type="spellStart"/>
      <w:r w:rsidRPr="00E62499">
        <w:rPr>
          <w:rStyle w:val="FNPopup"/>
          <w:i/>
          <w:iCs/>
          <w:color w:val="auto"/>
        </w:rPr>
        <w:t>Branfield</w:t>
      </w:r>
      <w:proofErr w:type="spellEnd"/>
      <w:r w:rsidRPr="00E62499">
        <w:rPr>
          <w:rStyle w:val="FNPopup"/>
          <w:i/>
          <w:iCs/>
          <w:color w:val="auto"/>
        </w:rPr>
        <w:t>.</w:t>
      </w:r>
      <w:r w:rsidRPr="00E62499">
        <w:rPr>
          <w:rStyle w:val="FNPopup"/>
          <w:color w:val="auto"/>
        </w:rPr>
        <w:t xml:space="preserve"> This is so because ownership passed in the light of the abstract theory of transfer of ownership, which does not require a valid underlying transaction for passing of ownership: </w:t>
      </w:r>
      <w:r w:rsidRPr="00E62499">
        <w:rPr>
          <w:rStyle w:val="FNPopup"/>
          <w:i/>
          <w:iCs/>
          <w:color w:val="auto"/>
        </w:rPr>
        <w:t>Legator McKenna Inc and Another v Shea and Others</w:t>
      </w:r>
      <w:r w:rsidRPr="00E62499">
        <w:rPr>
          <w:rStyle w:val="FNPopup"/>
          <w:color w:val="auto"/>
        </w:rPr>
        <w:t xml:space="preserve"> 2010 (1) SA 35 (SCA) paras 20–22; and compare </w:t>
      </w:r>
      <w:r w:rsidRPr="00E62499">
        <w:rPr>
          <w:rStyle w:val="FNPopup"/>
          <w:i/>
          <w:iCs/>
          <w:color w:val="auto"/>
        </w:rPr>
        <w:t xml:space="preserve">Oriental Products (Pty) Ltd v </w:t>
      </w:r>
      <w:proofErr w:type="spellStart"/>
      <w:r w:rsidRPr="00E62499">
        <w:rPr>
          <w:rStyle w:val="FNPopup"/>
          <w:i/>
          <w:iCs/>
          <w:color w:val="auto"/>
        </w:rPr>
        <w:t>Pegma</w:t>
      </w:r>
      <w:proofErr w:type="spellEnd"/>
      <w:r w:rsidRPr="00E62499">
        <w:rPr>
          <w:rStyle w:val="FNPopup"/>
          <w:i/>
          <w:iCs/>
          <w:color w:val="auto"/>
        </w:rPr>
        <w:t xml:space="preserve"> 178 Investments Trading CC and Others</w:t>
      </w:r>
      <w:r w:rsidRPr="00E62499">
        <w:rPr>
          <w:rStyle w:val="FNPopup"/>
          <w:color w:val="auto"/>
        </w:rPr>
        <w:t xml:space="preserve"> 2011 (2) SA 508 (SCA). Rectification of the register was but a formal way of accomplishing restitution. Once that is so, the </w:t>
      </w:r>
      <w:r w:rsidRPr="00E62499">
        <w:rPr>
          <w:rStyle w:val="FNPopup"/>
          <w:i/>
          <w:iCs/>
          <w:color w:val="auto"/>
        </w:rPr>
        <w:t>par delictum</w:t>
      </w:r>
      <w:r w:rsidRPr="00E62499">
        <w:rPr>
          <w:rStyle w:val="FNPopup"/>
          <w:color w:val="auto"/>
        </w:rPr>
        <w:t xml:space="preserve"> rule may take effect, something not appreciated in </w:t>
      </w:r>
      <w:r w:rsidRPr="00E62499">
        <w:rPr>
          <w:rStyle w:val="FNPopup"/>
          <w:i/>
          <w:iCs/>
          <w:color w:val="auto"/>
        </w:rPr>
        <w:t>Goss v EC Goss &amp; Co (Pty) Ltd and Others</w:t>
      </w:r>
      <w:r w:rsidRPr="00E62499">
        <w:rPr>
          <w:rStyle w:val="FNPopup"/>
          <w:color w:val="auto"/>
        </w:rPr>
        <w:t xml:space="preserve"> 1970 (1) SA 602 (D).</w:t>
      </w:r>
    </w:p>
    <w:p w:rsidR="00670A10" w:rsidRDefault="00670A10" w:rsidP="00B70FBE">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A10" w:rsidRDefault="00670A10">
      <w:r>
        <w:separator/>
      </w:r>
    </w:p>
  </w:footnote>
  <w:footnote w:type="continuationSeparator" w:id="0">
    <w:p w:rsidR="00670A10" w:rsidRDefault="00670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10" w:rsidRDefault="00670A10">
    <w:pPr>
      <w:widowControl/>
      <w:tabs>
        <w:tab w:val="left" w:pos="360"/>
        <w:tab w:val="left" w:pos="900"/>
        <w:tab w:val="left" w:pos="1440"/>
        <w:tab w:val="left" w:pos="1980"/>
        <w:tab w:val="left" w:pos="2520"/>
        <w:tab w:val="left" w:pos="2880"/>
        <w:tab w:val="left" w:pos="3240"/>
        <w:tab w:val="left" w:pos="3600"/>
      </w:tabs>
      <w:spacing w:after="180"/>
      <w:rPr>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297"/>
    <w:rsid w:val="00105D25"/>
    <w:rsid w:val="0018049B"/>
    <w:rsid w:val="00237CF9"/>
    <w:rsid w:val="00256459"/>
    <w:rsid w:val="002F0449"/>
    <w:rsid w:val="004179D6"/>
    <w:rsid w:val="00531079"/>
    <w:rsid w:val="00657C10"/>
    <w:rsid w:val="00670A10"/>
    <w:rsid w:val="0068764E"/>
    <w:rsid w:val="0088566F"/>
    <w:rsid w:val="008B1704"/>
    <w:rsid w:val="008D0297"/>
    <w:rsid w:val="00943A7F"/>
    <w:rsid w:val="009A1336"/>
    <w:rsid w:val="009D3DAB"/>
    <w:rsid w:val="00A35E6E"/>
    <w:rsid w:val="00A547DB"/>
    <w:rsid w:val="00AB08E4"/>
    <w:rsid w:val="00B27F25"/>
    <w:rsid w:val="00B70FBE"/>
    <w:rsid w:val="00B865DB"/>
    <w:rsid w:val="00BD2409"/>
    <w:rsid w:val="00C667D8"/>
    <w:rsid w:val="00CC59E6"/>
    <w:rsid w:val="00CD520F"/>
    <w:rsid w:val="00D2682B"/>
    <w:rsid w:val="00DF7BD7"/>
    <w:rsid w:val="00E4312B"/>
    <w:rsid w:val="00E62499"/>
    <w:rsid w:val="00E714C5"/>
    <w:rsid w:val="00ED5C11"/>
    <w:rsid w:val="00EE3A39"/>
    <w:rsid w:val="00EF601B"/>
    <w:rsid w:val="00F94741"/>
    <w:rsid w:val="00F95ADC"/>
    <w:rsid w:val="00FD5664"/>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F0449"/>
    <w:pPr>
      <w:widowControl w:val="0"/>
      <w:autoSpaceDE w:val="0"/>
      <w:autoSpaceDN w:val="0"/>
      <w:adjustRightInd w:val="0"/>
      <w:spacing w:after="0" w:line="240" w:lineRule="auto"/>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uiPriority w:val="99"/>
    <w:rsid w:val="002F0449"/>
    <w:pPr>
      <w:widowControl w:val="0"/>
      <w:pBdr>
        <w:top w:val="single" w:sz="8" w:space="2" w:color="008080"/>
        <w:left w:val="single" w:sz="8" w:space="2" w:color="008080"/>
        <w:bottom w:val="single" w:sz="8" w:space="2" w:color="008080"/>
        <w:right w:val="single" w:sz="8" w:space="2" w:color="008080"/>
      </w:pBdr>
      <w:autoSpaceDE w:val="0"/>
      <w:autoSpaceDN w:val="0"/>
      <w:adjustRightInd w:val="0"/>
      <w:spacing w:after="180" w:line="240" w:lineRule="auto"/>
      <w:jc w:val="center"/>
    </w:pPr>
    <w:rPr>
      <w:rFonts w:ascii="Verdana" w:hAnsi="Verdana" w:cs="Verdana"/>
      <w:b/>
      <w:bCs/>
      <w:color w:val="008080"/>
      <w:sz w:val="44"/>
      <w:szCs w:val="44"/>
    </w:rPr>
  </w:style>
  <w:style w:type="paragraph" w:customStyle="1" w:styleId="L2">
    <w:name w:val="L2"/>
    <w:uiPriority w:val="99"/>
    <w:rsid w:val="002F0449"/>
    <w:pPr>
      <w:widowControl w:val="0"/>
      <w:autoSpaceDE w:val="0"/>
      <w:autoSpaceDN w:val="0"/>
      <w:adjustRightInd w:val="0"/>
      <w:spacing w:after="180" w:line="240" w:lineRule="auto"/>
      <w:jc w:val="center"/>
    </w:pPr>
    <w:rPr>
      <w:rFonts w:ascii="Verdana" w:hAnsi="Verdana" w:cs="Verdana"/>
      <w:b/>
      <w:bCs/>
      <w:color w:val="008080"/>
      <w:sz w:val="32"/>
      <w:szCs w:val="32"/>
    </w:rPr>
  </w:style>
  <w:style w:type="paragraph" w:customStyle="1" w:styleId="L3">
    <w:name w:val="L3"/>
    <w:uiPriority w:val="99"/>
    <w:rsid w:val="002F0449"/>
    <w:pPr>
      <w:widowControl w:val="0"/>
      <w:pBdr>
        <w:top w:val="single" w:sz="8" w:space="0" w:color="FFFFFF"/>
      </w:pBdr>
      <w:autoSpaceDE w:val="0"/>
      <w:autoSpaceDN w:val="0"/>
      <w:adjustRightInd w:val="0"/>
      <w:spacing w:after="180" w:line="240" w:lineRule="auto"/>
    </w:pPr>
    <w:rPr>
      <w:rFonts w:ascii="Verdana" w:hAnsi="Verdana" w:cs="Verdana"/>
    </w:rPr>
  </w:style>
  <w:style w:type="paragraph" w:customStyle="1" w:styleId="L4">
    <w:name w:val="L4"/>
    <w:uiPriority w:val="99"/>
    <w:rsid w:val="002F0449"/>
    <w:pPr>
      <w:widowControl w:val="0"/>
      <w:autoSpaceDE w:val="0"/>
      <w:autoSpaceDN w:val="0"/>
      <w:adjustRightInd w:val="0"/>
      <w:spacing w:after="0" w:line="240" w:lineRule="auto"/>
    </w:pPr>
    <w:rPr>
      <w:rFonts w:ascii="Verdana" w:hAnsi="Verdana" w:cs="Verdana"/>
    </w:rPr>
  </w:style>
  <w:style w:type="paragraph" w:customStyle="1" w:styleId="L5">
    <w:name w:val="L5"/>
    <w:uiPriority w:val="99"/>
    <w:rsid w:val="002F0449"/>
    <w:pPr>
      <w:widowControl w:val="0"/>
      <w:autoSpaceDE w:val="0"/>
      <w:autoSpaceDN w:val="0"/>
      <w:adjustRightInd w:val="0"/>
      <w:spacing w:after="0" w:line="240" w:lineRule="auto"/>
    </w:pPr>
    <w:rPr>
      <w:rFonts w:ascii="Verdana" w:hAnsi="Verdana" w:cs="Verdana"/>
      <w:color w:val="000000"/>
    </w:rPr>
  </w:style>
  <w:style w:type="paragraph" w:customStyle="1" w:styleId="L6">
    <w:name w:val="L6"/>
    <w:uiPriority w:val="99"/>
    <w:rsid w:val="002F0449"/>
    <w:pPr>
      <w:widowControl w:val="0"/>
      <w:autoSpaceDE w:val="0"/>
      <w:autoSpaceDN w:val="0"/>
      <w:adjustRightInd w:val="0"/>
      <w:spacing w:after="0" w:line="240" w:lineRule="auto"/>
      <w:jc w:val="center"/>
    </w:pPr>
    <w:rPr>
      <w:rFonts w:ascii="Verdana" w:hAnsi="Verdana" w:cs="Verdana"/>
      <w:b/>
      <w:bCs/>
      <w:color w:val="008080"/>
    </w:rPr>
  </w:style>
  <w:style w:type="paragraph" w:customStyle="1" w:styleId="L7">
    <w:name w:val="L7"/>
    <w:uiPriority w:val="99"/>
    <w:rsid w:val="002F0449"/>
    <w:pPr>
      <w:widowControl w:val="0"/>
      <w:autoSpaceDE w:val="0"/>
      <w:autoSpaceDN w:val="0"/>
      <w:adjustRightInd w:val="0"/>
      <w:spacing w:after="0" w:line="240" w:lineRule="auto"/>
    </w:pPr>
    <w:rPr>
      <w:rFonts w:ascii="Verdana" w:hAnsi="Verdana" w:cs="Verdana"/>
      <w:b/>
      <w:bCs/>
      <w:color w:val="008080"/>
    </w:rPr>
  </w:style>
  <w:style w:type="paragraph" w:customStyle="1" w:styleId="L8">
    <w:name w:val="L8"/>
    <w:uiPriority w:val="99"/>
    <w:rsid w:val="002F0449"/>
    <w:pPr>
      <w:widowControl w:val="0"/>
      <w:autoSpaceDE w:val="0"/>
      <w:autoSpaceDN w:val="0"/>
      <w:adjustRightInd w:val="0"/>
      <w:spacing w:after="0" w:line="240" w:lineRule="auto"/>
    </w:pPr>
    <w:rPr>
      <w:rFonts w:ascii="Verdana" w:hAnsi="Verdana" w:cs="Verdana"/>
      <w:b/>
      <w:bCs/>
      <w:color w:val="008080"/>
    </w:rPr>
  </w:style>
  <w:style w:type="paragraph" w:customStyle="1" w:styleId="L9">
    <w:name w:val="L9"/>
    <w:uiPriority w:val="99"/>
    <w:rsid w:val="002F0449"/>
    <w:pPr>
      <w:widowControl w:val="0"/>
      <w:autoSpaceDE w:val="0"/>
      <w:autoSpaceDN w:val="0"/>
      <w:adjustRightInd w:val="0"/>
      <w:spacing w:after="0" w:line="240" w:lineRule="auto"/>
    </w:pPr>
    <w:rPr>
      <w:rFonts w:ascii="Verdana" w:hAnsi="Verdana" w:cs="Verdana"/>
      <w:b/>
      <w:bCs/>
      <w:color w:val="008080"/>
    </w:rPr>
  </w:style>
  <w:style w:type="paragraph" w:customStyle="1" w:styleId="L10">
    <w:name w:val="L10"/>
    <w:uiPriority w:val="99"/>
    <w:rsid w:val="002F0449"/>
    <w:pPr>
      <w:widowControl w:val="0"/>
      <w:autoSpaceDE w:val="0"/>
      <w:autoSpaceDN w:val="0"/>
      <w:adjustRightInd w:val="0"/>
      <w:spacing w:after="0" w:line="240" w:lineRule="auto"/>
    </w:pPr>
    <w:rPr>
      <w:rFonts w:ascii="Verdana" w:hAnsi="Verdana"/>
      <w:sz w:val="24"/>
      <w:szCs w:val="24"/>
    </w:rPr>
  </w:style>
  <w:style w:type="paragraph" w:customStyle="1" w:styleId="L11">
    <w:name w:val="L11"/>
    <w:uiPriority w:val="99"/>
    <w:rsid w:val="002F0449"/>
    <w:pPr>
      <w:widowControl w:val="0"/>
      <w:autoSpaceDE w:val="0"/>
      <w:autoSpaceDN w:val="0"/>
      <w:adjustRightInd w:val="0"/>
      <w:spacing w:after="0" w:line="240" w:lineRule="auto"/>
    </w:pPr>
    <w:rPr>
      <w:rFonts w:ascii="Verdana" w:hAnsi="Verdana"/>
      <w:sz w:val="24"/>
      <w:szCs w:val="24"/>
    </w:rPr>
  </w:style>
  <w:style w:type="paragraph" w:customStyle="1" w:styleId="L12">
    <w:name w:val="L12"/>
    <w:uiPriority w:val="99"/>
    <w:rsid w:val="002F0449"/>
    <w:pPr>
      <w:widowControl w:val="0"/>
      <w:autoSpaceDE w:val="0"/>
      <w:autoSpaceDN w:val="0"/>
      <w:adjustRightInd w:val="0"/>
      <w:spacing w:after="0" w:line="240" w:lineRule="auto"/>
    </w:pPr>
    <w:rPr>
      <w:rFonts w:ascii="Verdana" w:hAnsi="Verdana"/>
      <w:sz w:val="24"/>
      <w:szCs w:val="24"/>
    </w:rPr>
  </w:style>
  <w:style w:type="paragraph" w:customStyle="1" w:styleId="AlphaHead">
    <w:name w:val="AlphaHead"/>
    <w:uiPriority w:val="99"/>
    <w:rsid w:val="002F0449"/>
    <w:pPr>
      <w:widowControl w:val="0"/>
      <w:autoSpaceDE w:val="0"/>
      <w:autoSpaceDN w:val="0"/>
      <w:adjustRightInd w:val="0"/>
      <w:spacing w:before="120" w:after="0" w:line="240" w:lineRule="auto"/>
    </w:pPr>
    <w:rPr>
      <w:rFonts w:ascii="Verdana" w:hAnsi="Verdana"/>
      <w:b/>
      <w:bCs/>
      <w:color w:val="008080"/>
      <w:sz w:val="20"/>
      <w:szCs w:val="20"/>
    </w:rPr>
  </w:style>
  <w:style w:type="paragraph" w:customStyle="1" w:styleId="Bold">
    <w:name w:val="Bold"/>
    <w:uiPriority w:val="99"/>
    <w:rsid w:val="002F0449"/>
    <w:pPr>
      <w:widowControl w:val="0"/>
      <w:tabs>
        <w:tab w:val="left" w:pos="360"/>
        <w:tab w:val="left" w:pos="900"/>
        <w:tab w:val="left" w:pos="1440"/>
        <w:tab w:val="left" w:pos="1980"/>
        <w:tab w:val="left" w:pos="2520"/>
        <w:tab w:val="left" w:pos="2880"/>
        <w:tab w:val="left" w:pos="3240"/>
        <w:tab w:val="left" w:pos="3600"/>
      </w:tabs>
      <w:autoSpaceDE w:val="0"/>
      <w:autoSpaceDN w:val="0"/>
      <w:adjustRightInd w:val="0"/>
      <w:spacing w:after="0" w:line="240" w:lineRule="auto"/>
    </w:pPr>
    <w:rPr>
      <w:rFonts w:ascii="Verdana" w:hAnsi="Verdana"/>
      <w:b/>
      <w:bCs/>
      <w:color w:val="000000"/>
      <w:sz w:val="20"/>
      <w:szCs w:val="20"/>
    </w:rPr>
  </w:style>
  <w:style w:type="paragraph" w:customStyle="1" w:styleId="Centered">
    <w:name w:val="Centered"/>
    <w:uiPriority w:val="99"/>
    <w:rsid w:val="002F0449"/>
    <w:pPr>
      <w:widowControl w:val="0"/>
      <w:autoSpaceDE w:val="0"/>
      <w:autoSpaceDN w:val="0"/>
      <w:adjustRightInd w:val="0"/>
      <w:spacing w:after="181" w:line="240" w:lineRule="auto"/>
      <w:jc w:val="center"/>
    </w:pPr>
    <w:rPr>
      <w:rFonts w:ascii="Verdana" w:hAnsi="Verdana"/>
      <w:color w:val="000000"/>
      <w:sz w:val="20"/>
      <w:szCs w:val="20"/>
    </w:rPr>
  </w:style>
  <w:style w:type="paragraph" w:customStyle="1" w:styleId="Centeredblue">
    <w:name w:val="Centered blue"/>
    <w:uiPriority w:val="99"/>
    <w:rsid w:val="002F0449"/>
    <w:pPr>
      <w:widowControl w:val="0"/>
      <w:tabs>
        <w:tab w:val="left" w:pos="432"/>
      </w:tabs>
      <w:autoSpaceDE w:val="0"/>
      <w:autoSpaceDN w:val="0"/>
      <w:adjustRightInd w:val="0"/>
      <w:spacing w:after="181" w:line="240" w:lineRule="auto"/>
      <w:jc w:val="center"/>
    </w:pPr>
    <w:rPr>
      <w:rFonts w:ascii="Verdana" w:hAnsi="Verdana"/>
      <w:b/>
      <w:bCs/>
      <w:color w:val="008080"/>
      <w:sz w:val="20"/>
      <w:szCs w:val="20"/>
    </w:rPr>
  </w:style>
  <w:style w:type="paragraph" w:customStyle="1" w:styleId="Centered1">
    <w:name w:val="Centered1"/>
    <w:aliases w:val="Bold1"/>
    <w:uiPriority w:val="99"/>
    <w:rsid w:val="002F0449"/>
    <w:pPr>
      <w:widowControl w:val="0"/>
      <w:tabs>
        <w:tab w:val="left" w:pos="432"/>
        <w:tab w:val="left" w:pos="864"/>
        <w:tab w:val="left" w:pos="1440"/>
        <w:tab w:val="left" w:pos="2015"/>
        <w:tab w:val="left" w:pos="2591"/>
        <w:tab w:val="left" w:pos="3311"/>
      </w:tabs>
      <w:autoSpaceDE w:val="0"/>
      <w:autoSpaceDN w:val="0"/>
      <w:adjustRightInd w:val="0"/>
      <w:spacing w:after="181" w:line="240" w:lineRule="auto"/>
      <w:jc w:val="center"/>
    </w:pPr>
    <w:rPr>
      <w:rFonts w:ascii="Verdana" w:hAnsi="Verdana"/>
      <w:b/>
      <w:bCs/>
      <w:color w:val="000000"/>
      <w:sz w:val="20"/>
      <w:szCs w:val="20"/>
    </w:rPr>
  </w:style>
  <w:style w:type="paragraph" w:customStyle="1" w:styleId="Chapter">
    <w:name w:val="Chapter"/>
    <w:uiPriority w:val="99"/>
    <w:rsid w:val="002F0449"/>
    <w:pPr>
      <w:widowControl w:val="0"/>
      <w:autoSpaceDE w:val="0"/>
      <w:autoSpaceDN w:val="0"/>
      <w:adjustRightInd w:val="0"/>
      <w:spacing w:before="240" w:after="0" w:line="240" w:lineRule="auto"/>
      <w:jc w:val="center"/>
    </w:pPr>
    <w:rPr>
      <w:rFonts w:ascii="Verdana" w:hAnsi="Verdana"/>
      <w:b/>
      <w:bCs/>
      <w:color w:val="008080"/>
      <w:sz w:val="28"/>
      <w:szCs w:val="28"/>
    </w:rPr>
  </w:style>
  <w:style w:type="paragraph" w:customStyle="1" w:styleId="Division">
    <w:name w:val="Division"/>
    <w:uiPriority w:val="99"/>
    <w:rsid w:val="002F0449"/>
    <w:pPr>
      <w:widowControl w:val="0"/>
      <w:autoSpaceDE w:val="0"/>
      <w:autoSpaceDN w:val="0"/>
      <w:adjustRightInd w:val="0"/>
      <w:spacing w:before="240" w:after="240" w:line="240" w:lineRule="auto"/>
      <w:jc w:val="center"/>
    </w:pPr>
    <w:rPr>
      <w:rFonts w:ascii="Verdana" w:hAnsi="Verdana"/>
      <w:b/>
      <w:bCs/>
      <w:color w:val="008080"/>
      <w:sz w:val="38"/>
      <w:szCs w:val="38"/>
    </w:rPr>
  </w:style>
  <w:style w:type="paragraph" w:customStyle="1" w:styleId="EndRule">
    <w:name w:val="EndRule"/>
    <w:uiPriority w:val="99"/>
    <w:rsid w:val="002F0449"/>
    <w:pPr>
      <w:widowControl w:val="0"/>
      <w:pBdr>
        <w:top w:val="single" w:sz="12" w:space="1" w:color="008080"/>
      </w:pBdr>
      <w:autoSpaceDE w:val="0"/>
      <w:autoSpaceDN w:val="0"/>
      <w:adjustRightInd w:val="0"/>
      <w:spacing w:before="120" w:after="0" w:line="240" w:lineRule="auto"/>
      <w:ind w:left="567" w:right="567"/>
      <w:jc w:val="center"/>
    </w:pPr>
    <w:rPr>
      <w:rFonts w:ascii="Verdana" w:hAnsi="Verdana"/>
      <w:color w:val="000000"/>
      <w:sz w:val="20"/>
      <w:szCs w:val="20"/>
    </w:rPr>
  </w:style>
  <w:style w:type="paragraph" w:customStyle="1" w:styleId="FieldLine-1">
    <w:name w:val="Field Line-1"/>
    <w:uiPriority w:val="99"/>
    <w:rsid w:val="002F0449"/>
    <w:pPr>
      <w:widowControl w:val="0"/>
      <w:pBdr>
        <w:top w:val="single" w:sz="12" w:space="0" w:color="008080"/>
      </w:pBdr>
      <w:autoSpaceDE w:val="0"/>
      <w:autoSpaceDN w:val="0"/>
      <w:adjustRightInd w:val="0"/>
      <w:spacing w:after="0" w:line="240" w:lineRule="auto"/>
    </w:pPr>
    <w:rPr>
      <w:rFonts w:ascii="Verdana" w:hAnsi="Verdana"/>
      <w:color w:val="000000"/>
      <w:sz w:val="20"/>
      <w:szCs w:val="20"/>
    </w:rPr>
  </w:style>
  <w:style w:type="paragraph" w:customStyle="1" w:styleId="FieldLine-2">
    <w:name w:val="Field Line-2"/>
    <w:uiPriority w:val="99"/>
    <w:rsid w:val="002F0449"/>
    <w:pPr>
      <w:widowControl w:val="0"/>
      <w:pBdr>
        <w:top w:val="single" w:sz="12" w:space="0" w:color="008080"/>
      </w:pBdr>
      <w:autoSpaceDE w:val="0"/>
      <w:autoSpaceDN w:val="0"/>
      <w:adjustRightInd w:val="0"/>
      <w:spacing w:after="181" w:line="240" w:lineRule="auto"/>
    </w:pPr>
    <w:rPr>
      <w:rFonts w:ascii="Verdana" w:hAnsi="Verdana"/>
      <w:color w:val="000000"/>
      <w:sz w:val="20"/>
      <w:szCs w:val="20"/>
    </w:rPr>
  </w:style>
  <w:style w:type="paragraph" w:customStyle="1" w:styleId="Flynote">
    <w:name w:val="Flynote"/>
    <w:uiPriority w:val="99"/>
    <w:rsid w:val="002F0449"/>
    <w:pPr>
      <w:widowControl w:val="0"/>
      <w:autoSpaceDE w:val="0"/>
      <w:autoSpaceDN w:val="0"/>
      <w:adjustRightInd w:val="0"/>
      <w:spacing w:after="181" w:line="240" w:lineRule="auto"/>
      <w:ind w:left="284" w:right="284"/>
      <w:jc w:val="both"/>
    </w:pPr>
    <w:rPr>
      <w:rFonts w:ascii="Verdana" w:hAnsi="Verdana"/>
      <w:color w:val="000000"/>
      <w:sz w:val="18"/>
      <w:szCs w:val="18"/>
    </w:rPr>
  </w:style>
  <w:style w:type="paragraph" w:customStyle="1" w:styleId="FNoteText">
    <w:name w:val="FNoteText"/>
    <w:uiPriority w:val="99"/>
    <w:rsid w:val="002F0449"/>
    <w:pPr>
      <w:widowControl w:val="0"/>
      <w:autoSpaceDE w:val="0"/>
      <w:autoSpaceDN w:val="0"/>
      <w:adjustRightInd w:val="0"/>
      <w:spacing w:before="120" w:after="0" w:line="240" w:lineRule="auto"/>
    </w:pPr>
    <w:rPr>
      <w:rFonts w:ascii="Verdana" w:hAnsi="Verdana"/>
      <w:color w:val="000000"/>
      <w:sz w:val="16"/>
      <w:szCs w:val="16"/>
    </w:rPr>
  </w:style>
  <w:style w:type="paragraph" w:customStyle="1" w:styleId="I">
    <w:name w:val="I"/>
    <w:uiPriority w:val="99"/>
    <w:rsid w:val="002F0449"/>
    <w:pPr>
      <w:widowControl w:val="0"/>
      <w:tabs>
        <w:tab w:val="left" w:pos="576"/>
        <w:tab w:val="left" w:pos="864"/>
        <w:tab w:val="left" w:pos="1440"/>
        <w:tab w:val="left" w:pos="2015"/>
        <w:tab w:val="left" w:pos="2591"/>
        <w:tab w:val="left" w:pos="3311"/>
      </w:tabs>
      <w:autoSpaceDE w:val="0"/>
      <w:autoSpaceDN w:val="0"/>
      <w:adjustRightInd w:val="0"/>
      <w:spacing w:after="181" w:line="240" w:lineRule="auto"/>
      <w:ind w:left="576" w:hanging="576"/>
    </w:pPr>
    <w:rPr>
      <w:rFonts w:ascii="Verdana" w:hAnsi="Verdana"/>
      <w:color w:val="000000"/>
      <w:sz w:val="20"/>
      <w:szCs w:val="20"/>
    </w:rPr>
  </w:style>
  <w:style w:type="paragraph" w:customStyle="1" w:styleId="IBold">
    <w:name w:val="IBold"/>
    <w:uiPriority w:val="99"/>
    <w:rsid w:val="002F0449"/>
    <w:pPr>
      <w:widowControl w:val="0"/>
      <w:tabs>
        <w:tab w:val="left" w:pos="576"/>
        <w:tab w:val="left" w:pos="864"/>
        <w:tab w:val="left" w:pos="1440"/>
        <w:tab w:val="left" w:pos="2015"/>
        <w:tab w:val="left" w:pos="2591"/>
        <w:tab w:val="left" w:pos="3311"/>
      </w:tabs>
      <w:autoSpaceDE w:val="0"/>
      <w:autoSpaceDN w:val="0"/>
      <w:adjustRightInd w:val="0"/>
      <w:spacing w:after="181" w:line="240" w:lineRule="auto"/>
      <w:ind w:left="576" w:hanging="576"/>
    </w:pPr>
    <w:rPr>
      <w:rFonts w:ascii="Verdana" w:hAnsi="Verdana"/>
      <w:b/>
      <w:bCs/>
      <w:color w:val="000000"/>
      <w:sz w:val="20"/>
      <w:szCs w:val="20"/>
    </w:rPr>
  </w:style>
  <w:style w:type="paragraph" w:customStyle="1" w:styleId="LegAlphaHead">
    <w:name w:val="Leg_AlphaHead"/>
    <w:uiPriority w:val="99"/>
    <w:rsid w:val="002F0449"/>
    <w:pPr>
      <w:widowControl w:val="0"/>
      <w:autoSpaceDE w:val="0"/>
      <w:autoSpaceDN w:val="0"/>
      <w:adjustRightInd w:val="0"/>
      <w:spacing w:before="240" w:line="275" w:lineRule="auto"/>
      <w:jc w:val="center"/>
    </w:pPr>
    <w:rPr>
      <w:rFonts w:ascii="Verdana" w:hAnsi="Verdana"/>
      <w:b/>
      <w:bCs/>
      <w:color w:val="008080"/>
    </w:rPr>
  </w:style>
  <w:style w:type="paragraph" w:customStyle="1" w:styleId="LegAlphaTable">
    <w:name w:val="Leg_AlphaTable"/>
    <w:uiPriority w:val="99"/>
    <w:rsid w:val="002F0449"/>
    <w:pPr>
      <w:widowControl w:val="0"/>
      <w:autoSpaceDE w:val="0"/>
      <w:autoSpaceDN w:val="0"/>
      <w:adjustRightInd w:val="0"/>
      <w:spacing w:before="20" w:after="20" w:line="275" w:lineRule="auto"/>
      <w:jc w:val="center"/>
    </w:pPr>
    <w:rPr>
      <w:rFonts w:ascii="Verdana" w:hAnsi="Verdana"/>
      <w:b/>
      <w:bCs/>
      <w:color w:val="000000"/>
      <w:sz w:val="16"/>
      <w:szCs w:val="16"/>
    </w:rPr>
  </w:style>
  <w:style w:type="paragraph" w:customStyle="1" w:styleId="LegSubject">
    <w:name w:val="Leg_Subject"/>
    <w:uiPriority w:val="99"/>
    <w:rsid w:val="002F0449"/>
    <w:pPr>
      <w:widowControl w:val="0"/>
      <w:autoSpaceDE w:val="0"/>
      <w:autoSpaceDN w:val="0"/>
      <w:adjustRightInd w:val="0"/>
      <w:spacing w:before="360" w:after="0" w:line="240" w:lineRule="auto"/>
      <w:jc w:val="center"/>
    </w:pPr>
    <w:rPr>
      <w:rFonts w:ascii="Verdana" w:hAnsi="Verdana"/>
      <w:b/>
      <w:bCs/>
      <w:color w:val="008080"/>
      <w:sz w:val="28"/>
      <w:szCs w:val="28"/>
    </w:rPr>
  </w:style>
  <w:style w:type="paragraph" w:customStyle="1" w:styleId="LegText">
    <w:name w:val="Leg_Text"/>
    <w:uiPriority w:val="99"/>
    <w:rsid w:val="002F0449"/>
    <w:pPr>
      <w:widowControl w:val="0"/>
      <w:autoSpaceDE w:val="0"/>
      <w:autoSpaceDN w:val="0"/>
      <w:adjustRightInd w:val="0"/>
      <w:spacing w:before="60" w:line="275" w:lineRule="auto"/>
    </w:pPr>
    <w:rPr>
      <w:rFonts w:ascii="Verdana" w:hAnsi="Verdana"/>
      <w:color w:val="000000"/>
      <w:sz w:val="20"/>
      <w:szCs w:val="20"/>
    </w:rPr>
  </w:style>
  <w:style w:type="paragraph" w:customStyle="1" w:styleId="LegYear">
    <w:name w:val="Leg_Year"/>
    <w:uiPriority w:val="99"/>
    <w:rsid w:val="002F0449"/>
    <w:pPr>
      <w:widowControl w:val="0"/>
      <w:autoSpaceDE w:val="0"/>
      <w:autoSpaceDN w:val="0"/>
      <w:adjustRightInd w:val="0"/>
      <w:spacing w:before="360" w:line="275" w:lineRule="auto"/>
      <w:jc w:val="center"/>
    </w:pPr>
    <w:rPr>
      <w:rFonts w:ascii="Verdana" w:hAnsi="Verdana"/>
      <w:b/>
      <w:bCs/>
      <w:color w:val="008080"/>
      <w:sz w:val="28"/>
      <w:szCs w:val="28"/>
    </w:rPr>
  </w:style>
  <w:style w:type="paragraph" w:customStyle="1" w:styleId="Level-Centeredblue">
    <w:name w:val="Level-Centered blue"/>
    <w:uiPriority w:val="99"/>
    <w:rsid w:val="002F0449"/>
    <w:pPr>
      <w:widowControl w:val="0"/>
      <w:tabs>
        <w:tab w:val="left" w:pos="432"/>
      </w:tabs>
      <w:autoSpaceDE w:val="0"/>
      <w:autoSpaceDN w:val="0"/>
      <w:adjustRightInd w:val="0"/>
      <w:spacing w:after="181" w:line="240" w:lineRule="auto"/>
      <w:jc w:val="center"/>
    </w:pPr>
    <w:rPr>
      <w:rFonts w:ascii="Verdana" w:hAnsi="Verdana"/>
      <w:b/>
      <w:bCs/>
      <w:color w:val="008080"/>
      <w:sz w:val="20"/>
      <w:szCs w:val="20"/>
    </w:rPr>
  </w:style>
  <w:style w:type="paragraph" w:customStyle="1" w:styleId="Level-Iblue">
    <w:name w:val="Level-I blue"/>
    <w:uiPriority w:val="99"/>
    <w:rsid w:val="002F0449"/>
    <w:pPr>
      <w:widowControl w:val="0"/>
      <w:tabs>
        <w:tab w:val="left" w:pos="578"/>
      </w:tabs>
      <w:autoSpaceDE w:val="0"/>
      <w:autoSpaceDN w:val="0"/>
      <w:adjustRightInd w:val="0"/>
      <w:spacing w:after="181" w:line="240" w:lineRule="auto"/>
      <w:ind w:left="578" w:hanging="578"/>
    </w:pPr>
    <w:rPr>
      <w:rFonts w:ascii="Verdana" w:hAnsi="Verdana"/>
      <w:b/>
      <w:bCs/>
      <w:color w:val="008080"/>
      <w:sz w:val="20"/>
      <w:szCs w:val="20"/>
    </w:rPr>
  </w:style>
  <w:style w:type="paragraph" w:customStyle="1" w:styleId="Level-NormalBlue">
    <w:name w:val="Level-Normal Blue"/>
    <w:uiPriority w:val="99"/>
    <w:rsid w:val="002F0449"/>
    <w:pPr>
      <w:widowControl w:val="0"/>
      <w:autoSpaceDE w:val="0"/>
      <w:autoSpaceDN w:val="0"/>
      <w:adjustRightInd w:val="0"/>
      <w:spacing w:after="181" w:line="240" w:lineRule="auto"/>
    </w:pPr>
    <w:rPr>
      <w:rFonts w:ascii="Verdana" w:hAnsi="Verdana"/>
      <w:b/>
      <w:bCs/>
      <w:color w:val="008080"/>
      <w:sz w:val="20"/>
      <w:szCs w:val="20"/>
    </w:rPr>
  </w:style>
  <w:style w:type="paragraph" w:customStyle="1" w:styleId="ListingCentered">
    <w:name w:val="ListingCentered"/>
    <w:uiPriority w:val="99"/>
    <w:rsid w:val="002F044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40" w:lineRule="auto"/>
      <w:jc w:val="center"/>
    </w:pPr>
    <w:rPr>
      <w:rFonts w:ascii="Verdana" w:hAnsi="Verdana"/>
      <w:sz w:val="20"/>
      <w:szCs w:val="20"/>
    </w:rPr>
  </w:style>
  <w:style w:type="paragraph" w:customStyle="1" w:styleId="ListingRI">
    <w:name w:val="ListingRI"/>
    <w:uiPriority w:val="99"/>
    <w:rsid w:val="002F0449"/>
    <w:pPr>
      <w:widowControl w:val="0"/>
      <w:tabs>
        <w:tab w:val="right" w:pos="1134"/>
        <w:tab w:val="left" w:pos="1701"/>
      </w:tabs>
      <w:autoSpaceDE w:val="0"/>
      <w:autoSpaceDN w:val="0"/>
      <w:adjustRightInd w:val="0"/>
      <w:spacing w:after="181" w:line="240" w:lineRule="auto"/>
      <w:ind w:left="1701" w:hanging="1701"/>
    </w:pPr>
    <w:rPr>
      <w:rFonts w:ascii="Verdana" w:hAnsi="Verdana"/>
      <w:sz w:val="20"/>
      <w:szCs w:val="20"/>
    </w:rPr>
  </w:style>
  <w:style w:type="paragraph" w:customStyle="1" w:styleId="ListingRISchedule">
    <w:name w:val="ListingRI_Schedule"/>
    <w:uiPriority w:val="99"/>
    <w:rsid w:val="002F0449"/>
    <w:pPr>
      <w:widowControl w:val="0"/>
      <w:tabs>
        <w:tab w:val="right" w:pos="1134"/>
        <w:tab w:val="left" w:pos="1701"/>
      </w:tabs>
      <w:autoSpaceDE w:val="0"/>
      <w:autoSpaceDN w:val="0"/>
      <w:adjustRightInd w:val="0"/>
      <w:spacing w:after="181" w:line="240" w:lineRule="auto"/>
      <w:ind w:left="1701" w:hanging="1701"/>
    </w:pPr>
    <w:rPr>
      <w:rFonts w:ascii="Verdana" w:hAnsi="Verdana"/>
      <w:sz w:val="20"/>
      <w:szCs w:val="20"/>
    </w:rPr>
  </w:style>
  <w:style w:type="paragraph" w:customStyle="1" w:styleId="nbi">
    <w:name w:val="nbi"/>
    <w:uiPriority w:val="99"/>
    <w:rsid w:val="002F0449"/>
    <w:pPr>
      <w:widowControl w:val="0"/>
      <w:tabs>
        <w:tab w:val="left" w:pos="576"/>
        <w:tab w:val="left" w:pos="864"/>
        <w:tab w:val="left" w:pos="1440"/>
        <w:tab w:val="left" w:pos="2015"/>
        <w:tab w:val="left" w:pos="2591"/>
        <w:tab w:val="left" w:pos="3311"/>
      </w:tabs>
      <w:autoSpaceDE w:val="0"/>
      <w:autoSpaceDN w:val="0"/>
      <w:adjustRightInd w:val="0"/>
      <w:spacing w:after="181" w:line="240" w:lineRule="auto"/>
      <w:ind w:left="576" w:hanging="576"/>
    </w:pPr>
    <w:rPr>
      <w:rFonts w:ascii="Verdana" w:hAnsi="Verdana"/>
      <w:color w:val="000000"/>
      <w:sz w:val="20"/>
      <w:szCs w:val="20"/>
    </w:rPr>
  </w:style>
  <w:style w:type="paragraph" w:customStyle="1" w:styleId="NormalBold">
    <w:name w:val="NormalBold"/>
    <w:uiPriority w:val="99"/>
    <w:rsid w:val="002F0449"/>
    <w:pPr>
      <w:widowControl w:val="0"/>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40" w:lineRule="auto"/>
    </w:pPr>
    <w:rPr>
      <w:rFonts w:ascii="Verdana" w:hAnsi="Verdana"/>
      <w:b/>
      <w:bCs/>
      <w:color w:val="000000"/>
      <w:sz w:val="24"/>
      <w:szCs w:val="24"/>
    </w:rPr>
  </w:style>
  <w:style w:type="paragraph" w:customStyle="1" w:styleId="Para">
    <w:name w:val="Para"/>
    <w:uiPriority w:val="99"/>
    <w:rsid w:val="002F0449"/>
    <w:pPr>
      <w:widowControl w:val="0"/>
      <w:tabs>
        <w:tab w:val="left" w:pos="360"/>
        <w:tab w:val="left" w:pos="900"/>
        <w:tab w:val="left" w:pos="1440"/>
        <w:tab w:val="left" w:pos="1980"/>
        <w:tab w:val="left" w:pos="2520"/>
        <w:tab w:val="left" w:pos="2880"/>
        <w:tab w:val="left" w:pos="3240"/>
        <w:tab w:val="left" w:pos="3600"/>
      </w:tabs>
      <w:autoSpaceDE w:val="0"/>
      <w:autoSpaceDN w:val="0"/>
      <w:adjustRightInd w:val="0"/>
      <w:spacing w:after="181" w:line="240" w:lineRule="auto"/>
    </w:pPr>
    <w:rPr>
      <w:rFonts w:ascii="Verdana" w:hAnsi="Verdana"/>
      <w:color w:val="000000"/>
      <w:sz w:val="20"/>
      <w:szCs w:val="20"/>
    </w:rPr>
  </w:style>
  <w:style w:type="paragraph" w:customStyle="1" w:styleId="Part">
    <w:name w:val="Part"/>
    <w:uiPriority w:val="99"/>
    <w:rsid w:val="002F0449"/>
    <w:pPr>
      <w:widowControl w:val="0"/>
      <w:autoSpaceDE w:val="0"/>
      <w:autoSpaceDN w:val="0"/>
      <w:adjustRightInd w:val="0"/>
      <w:spacing w:before="240" w:after="240" w:line="240" w:lineRule="auto"/>
      <w:jc w:val="center"/>
    </w:pPr>
    <w:rPr>
      <w:rFonts w:ascii="Verdana" w:hAnsi="Verdana"/>
      <w:b/>
      <w:bCs/>
      <w:color w:val="008080"/>
      <w:sz w:val="32"/>
      <w:szCs w:val="32"/>
    </w:rPr>
  </w:style>
  <w:style w:type="paragraph" w:customStyle="1" w:styleId="Pb">
    <w:name w:val="Pb"/>
    <w:uiPriority w:val="99"/>
    <w:rsid w:val="002F0449"/>
    <w:pPr>
      <w:widowControl w:val="0"/>
      <w:pBdr>
        <w:top w:val="single" w:sz="6" w:space="2" w:color="008080"/>
      </w:pBdr>
      <w:autoSpaceDE w:val="0"/>
      <w:autoSpaceDN w:val="0"/>
      <w:adjustRightInd w:val="0"/>
      <w:spacing w:after="181" w:line="240" w:lineRule="auto"/>
      <w:jc w:val="right"/>
    </w:pPr>
    <w:rPr>
      <w:rFonts w:ascii="Verdana" w:hAnsi="Verdana"/>
      <w:b/>
      <w:bCs/>
      <w:color w:val="808080"/>
      <w:sz w:val="16"/>
      <w:szCs w:val="16"/>
    </w:rPr>
  </w:style>
  <w:style w:type="paragraph" w:customStyle="1" w:styleId="PbL4">
    <w:name w:val="Pb_L4"/>
    <w:uiPriority w:val="99"/>
    <w:rsid w:val="002F0449"/>
    <w:pPr>
      <w:widowControl w:val="0"/>
      <w:tabs>
        <w:tab w:val="left" w:pos="432"/>
        <w:tab w:val="left" w:pos="864"/>
        <w:tab w:val="left" w:pos="1440"/>
        <w:tab w:val="left" w:pos="2015"/>
        <w:tab w:val="left" w:pos="2591"/>
        <w:tab w:val="left" w:pos="3311"/>
        <w:tab w:val="left" w:pos="5669"/>
        <w:tab w:val="left" w:pos="6632"/>
        <w:tab w:val="left" w:pos="6803"/>
      </w:tabs>
      <w:autoSpaceDE w:val="0"/>
      <w:autoSpaceDN w:val="0"/>
      <w:adjustRightInd w:val="0"/>
      <w:spacing w:after="0" w:line="240" w:lineRule="auto"/>
      <w:jc w:val="right"/>
    </w:pPr>
    <w:rPr>
      <w:rFonts w:ascii="Verdana" w:hAnsi="Verdana"/>
      <w:b/>
      <w:bCs/>
      <w:color w:val="808080"/>
      <w:sz w:val="16"/>
      <w:szCs w:val="16"/>
    </w:rPr>
  </w:style>
  <w:style w:type="paragraph" w:customStyle="1" w:styleId="QlrAuthor">
    <w:name w:val="QlrAuthor"/>
    <w:uiPriority w:val="99"/>
    <w:rsid w:val="002F0449"/>
    <w:pPr>
      <w:widowControl w:val="0"/>
      <w:autoSpaceDE w:val="0"/>
      <w:autoSpaceDN w:val="0"/>
      <w:adjustRightInd w:val="0"/>
      <w:spacing w:before="120" w:after="0" w:line="240" w:lineRule="auto"/>
    </w:pPr>
    <w:rPr>
      <w:rFonts w:ascii="Verdana" w:hAnsi="Verdana"/>
      <w:b/>
      <w:bCs/>
      <w:color w:val="000000"/>
      <w:sz w:val="20"/>
      <w:szCs w:val="20"/>
    </w:rPr>
  </w:style>
  <w:style w:type="paragraph" w:customStyle="1" w:styleId="QlrAuthorCredentials">
    <w:name w:val="QlrAuthorCredentials"/>
    <w:uiPriority w:val="99"/>
    <w:rsid w:val="002F0449"/>
    <w:pPr>
      <w:widowControl w:val="0"/>
      <w:autoSpaceDE w:val="0"/>
      <w:autoSpaceDN w:val="0"/>
      <w:adjustRightInd w:val="0"/>
      <w:spacing w:before="20" w:after="20" w:line="240" w:lineRule="auto"/>
    </w:pPr>
    <w:rPr>
      <w:rFonts w:ascii="Verdana" w:hAnsi="Verdana"/>
      <w:color w:val="000000"/>
      <w:sz w:val="20"/>
      <w:szCs w:val="20"/>
    </w:rPr>
  </w:style>
  <w:style w:type="paragraph" w:customStyle="1" w:styleId="QlrAuthorDate">
    <w:name w:val="QlrAuthorDate"/>
    <w:uiPriority w:val="99"/>
    <w:rsid w:val="002F0449"/>
    <w:pPr>
      <w:widowControl w:val="0"/>
      <w:autoSpaceDE w:val="0"/>
      <w:autoSpaceDN w:val="0"/>
      <w:adjustRightInd w:val="0"/>
      <w:spacing w:after="0" w:line="240" w:lineRule="auto"/>
    </w:pPr>
    <w:rPr>
      <w:rFonts w:ascii="Verdana" w:hAnsi="Verdana"/>
      <w:i/>
      <w:iCs/>
      <w:color w:val="000000"/>
      <w:sz w:val="18"/>
      <w:szCs w:val="18"/>
    </w:rPr>
  </w:style>
  <w:style w:type="paragraph" w:customStyle="1" w:styleId="QlrAuthorQualifications">
    <w:name w:val="QlrAuthorQualifications"/>
    <w:uiPriority w:val="99"/>
    <w:rsid w:val="002F0449"/>
    <w:pPr>
      <w:widowControl w:val="0"/>
      <w:autoSpaceDE w:val="0"/>
      <w:autoSpaceDN w:val="0"/>
      <w:adjustRightInd w:val="0"/>
      <w:spacing w:after="0" w:line="240" w:lineRule="auto"/>
    </w:pPr>
    <w:rPr>
      <w:rFonts w:ascii="Verdana" w:hAnsi="Verdana"/>
      <w:color w:val="000000"/>
      <w:sz w:val="20"/>
      <w:szCs w:val="20"/>
    </w:rPr>
  </w:style>
  <w:style w:type="paragraph" w:customStyle="1" w:styleId="QlrCaseName">
    <w:name w:val="QlrCaseName"/>
    <w:uiPriority w:val="99"/>
    <w:rsid w:val="002F0449"/>
    <w:pPr>
      <w:widowControl w:val="0"/>
      <w:autoSpaceDE w:val="0"/>
      <w:autoSpaceDN w:val="0"/>
      <w:adjustRightInd w:val="0"/>
      <w:spacing w:after="0" w:line="240" w:lineRule="auto"/>
    </w:pPr>
    <w:rPr>
      <w:rFonts w:ascii="Verdana" w:hAnsi="Verdana"/>
      <w:b/>
      <w:bCs/>
      <w:color w:val="000000"/>
      <w:sz w:val="20"/>
      <w:szCs w:val="20"/>
    </w:rPr>
  </w:style>
  <w:style w:type="paragraph" w:customStyle="1" w:styleId="QlrCitation">
    <w:name w:val="QlrCitation"/>
    <w:uiPriority w:val="99"/>
    <w:rsid w:val="002F0449"/>
    <w:pPr>
      <w:widowControl w:val="0"/>
      <w:autoSpaceDE w:val="0"/>
      <w:autoSpaceDN w:val="0"/>
      <w:adjustRightInd w:val="0"/>
      <w:spacing w:before="120" w:after="0" w:line="240" w:lineRule="auto"/>
      <w:jc w:val="center"/>
    </w:pPr>
    <w:rPr>
      <w:rFonts w:ascii="Verdana" w:hAnsi="Verdana"/>
      <w:b/>
      <w:bCs/>
      <w:color w:val="000000"/>
      <w:sz w:val="20"/>
      <w:szCs w:val="20"/>
    </w:rPr>
  </w:style>
  <w:style w:type="paragraph" w:customStyle="1" w:styleId="QlrContents">
    <w:name w:val="QlrContents"/>
    <w:uiPriority w:val="99"/>
    <w:rsid w:val="002F0449"/>
    <w:pPr>
      <w:widowControl w:val="0"/>
      <w:autoSpaceDE w:val="0"/>
      <w:autoSpaceDN w:val="0"/>
      <w:adjustRightInd w:val="0"/>
      <w:spacing w:before="120" w:after="0" w:line="240" w:lineRule="auto"/>
    </w:pPr>
    <w:rPr>
      <w:rFonts w:ascii="Verdana" w:hAnsi="Verdana"/>
      <w:b/>
      <w:bCs/>
      <w:color w:val="008080"/>
      <w:sz w:val="20"/>
      <w:szCs w:val="20"/>
    </w:rPr>
  </w:style>
  <w:style w:type="paragraph" w:customStyle="1" w:styleId="QlrHead1">
    <w:name w:val="QlrHead1."/>
    <w:uiPriority w:val="99"/>
    <w:rsid w:val="002F0449"/>
    <w:pPr>
      <w:widowControl w:val="0"/>
      <w:tabs>
        <w:tab w:val="left" w:pos="567"/>
      </w:tabs>
      <w:autoSpaceDE w:val="0"/>
      <w:autoSpaceDN w:val="0"/>
      <w:adjustRightInd w:val="0"/>
      <w:spacing w:before="120" w:after="60" w:line="240" w:lineRule="auto"/>
    </w:pPr>
    <w:rPr>
      <w:rFonts w:ascii="Verdana" w:hAnsi="Verdana"/>
      <w:b/>
      <w:bCs/>
      <w:color w:val="008080"/>
      <w:sz w:val="24"/>
      <w:szCs w:val="24"/>
    </w:rPr>
  </w:style>
  <w:style w:type="paragraph" w:customStyle="1" w:styleId="QlrHead11">
    <w:name w:val="QlrHead1.1"/>
    <w:uiPriority w:val="99"/>
    <w:rsid w:val="002F0449"/>
    <w:pPr>
      <w:widowControl w:val="0"/>
      <w:tabs>
        <w:tab w:val="left" w:pos="680"/>
      </w:tabs>
      <w:autoSpaceDE w:val="0"/>
      <w:autoSpaceDN w:val="0"/>
      <w:adjustRightInd w:val="0"/>
      <w:spacing w:before="120" w:after="60" w:line="240" w:lineRule="auto"/>
    </w:pPr>
    <w:rPr>
      <w:rFonts w:ascii="Verdana" w:hAnsi="Verdana"/>
      <w:b/>
      <w:bCs/>
      <w:color w:val="008080"/>
      <w:sz w:val="24"/>
      <w:szCs w:val="24"/>
    </w:rPr>
  </w:style>
  <w:style w:type="paragraph" w:customStyle="1" w:styleId="QlrHeadBold">
    <w:name w:val="QlrHeadBold"/>
    <w:uiPriority w:val="99"/>
    <w:rsid w:val="002F0449"/>
    <w:pPr>
      <w:widowControl w:val="0"/>
      <w:autoSpaceDE w:val="0"/>
      <w:autoSpaceDN w:val="0"/>
      <w:adjustRightInd w:val="0"/>
      <w:spacing w:before="120" w:after="0" w:line="240" w:lineRule="auto"/>
    </w:pPr>
    <w:rPr>
      <w:rFonts w:ascii="Verdana" w:hAnsi="Verdana"/>
      <w:b/>
      <w:bCs/>
      <w:color w:val="008080"/>
    </w:rPr>
  </w:style>
  <w:style w:type="paragraph" w:customStyle="1" w:styleId="QlrHeadLevel1">
    <w:name w:val="QlrHeadLevel1"/>
    <w:uiPriority w:val="99"/>
    <w:rsid w:val="002F0449"/>
    <w:pPr>
      <w:widowControl w:val="0"/>
      <w:tabs>
        <w:tab w:val="left" w:pos="567"/>
      </w:tabs>
      <w:autoSpaceDE w:val="0"/>
      <w:autoSpaceDN w:val="0"/>
      <w:adjustRightInd w:val="0"/>
      <w:spacing w:before="360" w:after="0" w:line="240" w:lineRule="auto"/>
    </w:pPr>
    <w:rPr>
      <w:rFonts w:ascii="Verdana" w:hAnsi="Verdana"/>
      <w:b/>
      <w:bCs/>
      <w:color w:val="008080"/>
      <w:sz w:val="26"/>
      <w:szCs w:val="26"/>
    </w:rPr>
  </w:style>
  <w:style w:type="paragraph" w:customStyle="1" w:styleId="QlrHeadLevel2">
    <w:name w:val="QlrHeadLevel2"/>
    <w:uiPriority w:val="99"/>
    <w:rsid w:val="002F0449"/>
    <w:pPr>
      <w:widowControl w:val="0"/>
      <w:tabs>
        <w:tab w:val="left" w:pos="680"/>
      </w:tabs>
      <w:autoSpaceDE w:val="0"/>
      <w:autoSpaceDN w:val="0"/>
      <w:adjustRightInd w:val="0"/>
      <w:spacing w:before="240" w:after="0" w:line="240" w:lineRule="auto"/>
    </w:pPr>
    <w:rPr>
      <w:rFonts w:ascii="Verdana" w:hAnsi="Verdana"/>
      <w:b/>
      <w:bCs/>
      <w:color w:val="008080"/>
    </w:rPr>
  </w:style>
  <w:style w:type="paragraph" w:customStyle="1" w:styleId="QlrHeadLevel2AfterHead">
    <w:name w:val="QlrHeadLevel2AfterHead"/>
    <w:uiPriority w:val="99"/>
    <w:rsid w:val="002F0449"/>
    <w:pPr>
      <w:widowControl w:val="0"/>
      <w:autoSpaceDE w:val="0"/>
      <w:autoSpaceDN w:val="0"/>
      <w:adjustRightInd w:val="0"/>
      <w:spacing w:before="120" w:after="0" w:line="240" w:lineRule="auto"/>
    </w:pPr>
    <w:rPr>
      <w:rFonts w:ascii="Verdana" w:hAnsi="Verdana"/>
      <w:b/>
      <w:bCs/>
      <w:color w:val="008080"/>
    </w:rPr>
  </w:style>
  <w:style w:type="paragraph" w:customStyle="1" w:styleId="QlrHeadLevel3">
    <w:name w:val="QlrHeadLevel3"/>
    <w:uiPriority w:val="99"/>
    <w:rsid w:val="002F0449"/>
    <w:pPr>
      <w:widowControl w:val="0"/>
      <w:tabs>
        <w:tab w:val="left" w:pos="851"/>
      </w:tabs>
      <w:autoSpaceDE w:val="0"/>
      <w:autoSpaceDN w:val="0"/>
      <w:adjustRightInd w:val="0"/>
      <w:spacing w:before="180" w:after="0" w:line="240" w:lineRule="auto"/>
    </w:pPr>
    <w:rPr>
      <w:rFonts w:ascii="Verdana" w:hAnsi="Verdana"/>
      <w:b/>
      <w:bCs/>
      <w:color w:val="008080"/>
      <w:sz w:val="20"/>
      <w:szCs w:val="20"/>
    </w:rPr>
  </w:style>
  <w:style w:type="paragraph" w:customStyle="1" w:styleId="QlrHeadLevel3AfterHead">
    <w:name w:val="QlrHeadLevel3AfterHead"/>
    <w:uiPriority w:val="99"/>
    <w:rsid w:val="002F0449"/>
    <w:pPr>
      <w:widowControl w:val="0"/>
      <w:autoSpaceDE w:val="0"/>
      <w:autoSpaceDN w:val="0"/>
      <w:adjustRightInd w:val="0"/>
      <w:spacing w:before="120" w:after="0" w:line="240" w:lineRule="auto"/>
    </w:pPr>
    <w:rPr>
      <w:rFonts w:ascii="Verdana" w:hAnsi="Verdana"/>
      <w:b/>
      <w:bCs/>
      <w:color w:val="008080"/>
      <w:sz w:val="20"/>
      <w:szCs w:val="20"/>
    </w:rPr>
  </w:style>
  <w:style w:type="paragraph" w:customStyle="1" w:styleId="QlrHeadLevel4">
    <w:name w:val="QlrHeadLevel4"/>
    <w:uiPriority w:val="99"/>
    <w:rsid w:val="002F0449"/>
    <w:pPr>
      <w:widowControl w:val="0"/>
      <w:tabs>
        <w:tab w:val="left" w:pos="1021"/>
      </w:tabs>
      <w:autoSpaceDE w:val="0"/>
      <w:autoSpaceDN w:val="0"/>
      <w:adjustRightInd w:val="0"/>
      <w:spacing w:before="180" w:after="0" w:line="240" w:lineRule="auto"/>
    </w:pPr>
    <w:rPr>
      <w:rFonts w:ascii="Verdana" w:hAnsi="Verdana"/>
      <w:b/>
      <w:bCs/>
      <w:color w:val="000000"/>
      <w:sz w:val="20"/>
      <w:szCs w:val="20"/>
    </w:rPr>
  </w:style>
  <w:style w:type="paragraph" w:customStyle="1" w:styleId="QlrHeadLevel4AfterHead">
    <w:name w:val="QlrHeadLevel4AfterHead"/>
    <w:uiPriority w:val="99"/>
    <w:rsid w:val="002F0449"/>
    <w:pPr>
      <w:widowControl w:val="0"/>
      <w:autoSpaceDE w:val="0"/>
      <w:autoSpaceDN w:val="0"/>
      <w:adjustRightInd w:val="0"/>
      <w:spacing w:before="120" w:after="0" w:line="240" w:lineRule="auto"/>
    </w:pPr>
    <w:rPr>
      <w:rFonts w:ascii="Verdana" w:hAnsi="Verdana"/>
      <w:b/>
      <w:bCs/>
      <w:color w:val="000000"/>
      <w:sz w:val="20"/>
      <w:szCs w:val="20"/>
    </w:rPr>
  </w:style>
  <w:style w:type="paragraph" w:customStyle="1" w:styleId="QlrHeadLevel5">
    <w:name w:val="QlrHeadLevel5"/>
    <w:uiPriority w:val="99"/>
    <w:rsid w:val="002F0449"/>
    <w:pPr>
      <w:widowControl w:val="0"/>
      <w:tabs>
        <w:tab w:val="left" w:pos="1021"/>
      </w:tabs>
      <w:autoSpaceDE w:val="0"/>
      <w:autoSpaceDN w:val="0"/>
      <w:adjustRightInd w:val="0"/>
      <w:spacing w:before="180" w:after="0" w:line="240" w:lineRule="auto"/>
    </w:pPr>
    <w:rPr>
      <w:rFonts w:ascii="Verdana" w:hAnsi="Verdana"/>
      <w:b/>
      <w:bCs/>
      <w:color w:val="000000"/>
      <w:sz w:val="20"/>
      <w:szCs w:val="20"/>
    </w:rPr>
  </w:style>
  <w:style w:type="paragraph" w:customStyle="1" w:styleId="QlrHeadLevel5AfterHead">
    <w:name w:val="QlrHeadLevel5AfterHead"/>
    <w:uiPriority w:val="99"/>
    <w:rsid w:val="002F0449"/>
    <w:pPr>
      <w:widowControl w:val="0"/>
      <w:autoSpaceDE w:val="0"/>
      <w:autoSpaceDN w:val="0"/>
      <w:adjustRightInd w:val="0"/>
      <w:spacing w:before="120" w:after="0" w:line="240" w:lineRule="auto"/>
    </w:pPr>
    <w:rPr>
      <w:rFonts w:ascii="Verdana" w:hAnsi="Verdana"/>
      <w:b/>
      <w:bCs/>
      <w:color w:val="000000"/>
      <w:sz w:val="20"/>
      <w:szCs w:val="20"/>
    </w:rPr>
  </w:style>
  <w:style w:type="paragraph" w:customStyle="1" w:styleId="QlrHeadLevel6">
    <w:name w:val="QlrHeadLevel6"/>
    <w:uiPriority w:val="99"/>
    <w:rsid w:val="002F0449"/>
    <w:pPr>
      <w:widowControl w:val="0"/>
      <w:autoSpaceDE w:val="0"/>
      <w:autoSpaceDN w:val="0"/>
      <w:adjustRightInd w:val="0"/>
      <w:spacing w:before="120" w:after="60" w:line="240" w:lineRule="auto"/>
    </w:pPr>
    <w:rPr>
      <w:rFonts w:ascii="Verdana" w:hAnsi="Verdana"/>
      <w:i/>
      <w:iCs/>
      <w:color w:val="000000"/>
      <w:sz w:val="20"/>
      <w:szCs w:val="20"/>
    </w:rPr>
  </w:style>
  <w:style w:type="paragraph" w:customStyle="1" w:styleId="QlrImage">
    <w:name w:val="QlrImage"/>
    <w:uiPriority w:val="99"/>
    <w:rsid w:val="002F0449"/>
    <w:pPr>
      <w:widowControl w:val="0"/>
      <w:autoSpaceDE w:val="0"/>
      <w:autoSpaceDN w:val="0"/>
      <w:adjustRightInd w:val="0"/>
      <w:spacing w:after="0" w:line="240" w:lineRule="auto"/>
      <w:jc w:val="center"/>
    </w:pPr>
    <w:rPr>
      <w:rFonts w:ascii="Verdana" w:hAnsi="Verdana"/>
      <w:color w:val="000000"/>
      <w:sz w:val="20"/>
      <w:szCs w:val="20"/>
    </w:rPr>
  </w:style>
  <w:style w:type="paragraph" w:customStyle="1" w:styleId="QlrIndexHeading">
    <w:name w:val="QlrIndexHeading"/>
    <w:uiPriority w:val="99"/>
    <w:rsid w:val="002F0449"/>
    <w:pPr>
      <w:widowControl w:val="0"/>
      <w:autoSpaceDE w:val="0"/>
      <w:autoSpaceDN w:val="0"/>
      <w:adjustRightInd w:val="0"/>
      <w:spacing w:after="120" w:line="240" w:lineRule="auto"/>
      <w:jc w:val="center"/>
    </w:pPr>
    <w:rPr>
      <w:rFonts w:ascii="Verdana" w:hAnsi="Verdana"/>
      <w:color w:val="008080"/>
      <w:sz w:val="26"/>
      <w:szCs w:val="26"/>
    </w:rPr>
  </w:style>
  <w:style w:type="paragraph" w:customStyle="1" w:styleId="QlrIndexRef">
    <w:name w:val="QlrIndexRef"/>
    <w:uiPriority w:val="99"/>
    <w:rsid w:val="002F0449"/>
    <w:pPr>
      <w:widowControl w:val="0"/>
      <w:autoSpaceDE w:val="0"/>
      <w:autoSpaceDN w:val="0"/>
      <w:adjustRightInd w:val="0"/>
      <w:spacing w:after="60" w:line="240" w:lineRule="auto"/>
    </w:pPr>
    <w:rPr>
      <w:rFonts w:ascii="Verdana" w:hAnsi="Verdana"/>
      <w:color w:val="000000"/>
      <w:sz w:val="18"/>
      <w:szCs w:val="18"/>
    </w:rPr>
  </w:style>
  <w:style w:type="paragraph" w:customStyle="1" w:styleId="QlrMonth">
    <w:name w:val="QlrMonth"/>
    <w:uiPriority w:val="99"/>
    <w:rsid w:val="002F0449"/>
    <w:pPr>
      <w:widowControl w:val="0"/>
      <w:autoSpaceDE w:val="0"/>
      <w:autoSpaceDN w:val="0"/>
      <w:adjustRightInd w:val="0"/>
      <w:spacing w:before="240" w:after="120" w:line="240" w:lineRule="auto"/>
      <w:jc w:val="center"/>
    </w:pPr>
    <w:rPr>
      <w:rFonts w:ascii="Verdana" w:hAnsi="Verdana"/>
      <w:b/>
      <w:bCs/>
      <w:color w:val="008080"/>
      <w:sz w:val="26"/>
      <w:szCs w:val="26"/>
    </w:rPr>
  </w:style>
  <w:style w:type="paragraph" w:customStyle="1" w:styleId="QlrPara">
    <w:name w:val="QlrPara"/>
    <w:uiPriority w:val="99"/>
    <w:rsid w:val="002F0449"/>
    <w:pPr>
      <w:widowControl w:val="0"/>
      <w:autoSpaceDE w:val="0"/>
      <w:autoSpaceDN w:val="0"/>
      <w:adjustRightInd w:val="0"/>
      <w:spacing w:before="120" w:after="0" w:line="240" w:lineRule="auto"/>
    </w:pPr>
    <w:rPr>
      <w:rFonts w:ascii="Verdana" w:hAnsi="Verdana"/>
      <w:color w:val="000000"/>
      <w:sz w:val="20"/>
      <w:szCs w:val="20"/>
    </w:rPr>
  </w:style>
  <w:style w:type="paragraph" w:customStyle="1" w:styleId="QlrParaFLIndent">
    <w:name w:val="QlrParaFLIndent"/>
    <w:uiPriority w:val="99"/>
    <w:rsid w:val="002F0449"/>
    <w:pPr>
      <w:widowControl w:val="0"/>
      <w:tabs>
        <w:tab w:val="left" w:pos="284"/>
      </w:tabs>
      <w:autoSpaceDE w:val="0"/>
      <w:autoSpaceDN w:val="0"/>
      <w:adjustRightInd w:val="0"/>
      <w:spacing w:before="120" w:after="0" w:line="240" w:lineRule="auto"/>
      <w:ind w:firstLine="284"/>
    </w:pPr>
    <w:rPr>
      <w:rFonts w:ascii="Verdana" w:hAnsi="Verdana"/>
      <w:color w:val="000000"/>
      <w:sz w:val="20"/>
      <w:szCs w:val="20"/>
    </w:rPr>
  </w:style>
  <w:style w:type="paragraph" w:customStyle="1" w:styleId="QlrParaIndent2">
    <w:name w:val="QlrParaIndent2"/>
    <w:uiPriority w:val="99"/>
    <w:rsid w:val="002F0449"/>
    <w:pPr>
      <w:widowControl w:val="0"/>
      <w:autoSpaceDE w:val="0"/>
      <w:autoSpaceDN w:val="0"/>
      <w:adjustRightInd w:val="0"/>
      <w:spacing w:after="0" w:line="240" w:lineRule="auto"/>
      <w:ind w:left="1134"/>
    </w:pPr>
    <w:rPr>
      <w:rFonts w:ascii="Verdana" w:hAnsi="Verdana"/>
      <w:color w:val="000000"/>
    </w:rPr>
  </w:style>
  <w:style w:type="paragraph" w:customStyle="1" w:styleId="QlrParaIndt1">
    <w:name w:val="QlrParaIndt1"/>
    <w:uiPriority w:val="99"/>
    <w:rsid w:val="002F0449"/>
    <w:pPr>
      <w:widowControl w:val="0"/>
      <w:tabs>
        <w:tab w:val="left" w:pos="567"/>
      </w:tabs>
      <w:autoSpaceDE w:val="0"/>
      <w:autoSpaceDN w:val="0"/>
      <w:adjustRightInd w:val="0"/>
      <w:spacing w:before="120" w:after="0" w:line="240" w:lineRule="auto"/>
      <w:ind w:left="567" w:hanging="567"/>
    </w:pPr>
    <w:rPr>
      <w:rFonts w:ascii="Verdana" w:hAnsi="Verdana"/>
      <w:color w:val="000000"/>
      <w:sz w:val="20"/>
      <w:szCs w:val="20"/>
    </w:rPr>
  </w:style>
  <w:style w:type="paragraph" w:customStyle="1" w:styleId="QlrParaIndt1hang">
    <w:name w:val="QlrParaIndt1hang"/>
    <w:uiPriority w:val="99"/>
    <w:rsid w:val="002F0449"/>
    <w:pPr>
      <w:widowControl w:val="0"/>
      <w:autoSpaceDE w:val="0"/>
      <w:autoSpaceDN w:val="0"/>
      <w:adjustRightInd w:val="0"/>
      <w:spacing w:after="0" w:line="240" w:lineRule="auto"/>
      <w:ind w:left="567"/>
    </w:pPr>
    <w:rPr>
      <w:rFonts w:ascii="Verdana" w:hAnsi="Verdana"/>
      <w:color w:val="000000"/>
      <w:sz w:val="20"/>
      <w:szCs w:val="20"/>
    </w:rPr>
  </w:style>
  <w:style w:type="paragraph" w:customStyle="1" w:styleId="QlrParaIndt1i">
    <w:name w:val="QlrParaIndt1i"/>
    <w:uiPriority w:val="99"/>
    <w:rsid w:val="002F0449"/>
    <w:pPr>
      <w:widowControl w:val="0"/>
      <w:tabs>
        <w:tab w:val="right" w:pos="454"/>
        <w:tab w:val="left" w:pos="567"/>
      </w:tabs>
      <w:autoSpaceDE w:val="0"/>
      <w:autoSpaceDN w:val="0"/>
      <w:adjustRightInd w:val="0"/>
      <w:spacing w:before="120" w:after="0" w:line="240" w:lineRule="auto"/>
      <w:ind w:left="567" w:hanging="567"/>
    </w:pPr>
    <w:rPr>
      <w:rFonts w:ascii="Verdana" w:hAnsi="Verdana"/>
      <w:color w:val="000000"/>
      <w:sz w:val="20"/>
      <w:szCs w:val="20"/>
    </w:rPr>
  </w:style>
  <w:style w:type="paragraph" w:customStyle="1" w:styleId="QlrParaIndt2">
    <w:name w:val="QlrParaIndt2"/>
    <w:uiPriority w:val="99"/>
    <w:rsid w:val="002F0449"/>
    <w:pPr>
      <w:widowControl w:val="0"/>
      <w:tabs>
        <w:tab w:val="left" w:pos="567"/>
        <w:tab w:val="left" w:pos="1134"/>
      </w:tabs>
      <w:autoSpaceDE w:val="0"/>
      <w:autoSpaceDN w:val="0"/>
      <w:adjustRightInd w:val="0"/>
      <w:spacing w:before="120" w:after="0" w:line="240" w:lineRule="auto"/>
      <w:ind w:left="1134" w:hanging="1134"/>
    </w:pPr>
    <w:rPr>
      <w:rFonts w:ascii="Verdana" w:hAnsi="Verdana"/>
      <w:color w:val="000000"/>
      <w:sz w:val="20"/>
      <w:szCs w:val="20"/>
    </w:rPr>
  </w:style>
  <w:style w:type="paragraph" w:customStyle="1" w:styleId="Qlrparaindt2i">
    <w:name w:val="Qlrparaindt2i"/>
    <w:uiPriority w:val="99"/>
    <w:rsid w:val="002F0449"/>
    <w:pPr>
      <w:widowControl w:val="0"/>
      <w:tabs>
        <w:tab w:val="right" w:pos="1021"/>
        <w:tab w:val="left" w:pos="1134"/>
      </w:tabs>
      <w:autoSpaceDE w:val="0"/>
      <w:autoSpaceDN w:val="0"/>
      <w:adjustRightInd w:val="0"/>
      <w:spacing w:before="120" w:after="0" w:line="240" w:lineRule="auto"/>
      <w:ind w:left="1134" w:hanging="1134"/>
    </w:pPr>
    <w:rPr>
      <w:rFonts w:ascii="Verdana" w:hAnsi="Verdana"/>
      <w:color w:val="000000"/>
      <w:sz w:val="20"/>
      <w:szCs w:val="20"/>
    </w:rPr>
  </w:style>
  <w:style w:type="paragraph" w:customStyle="1" w:styleId="QlrParaIndt3i">
    <w:name w:val="QlrParaIndt3i"/>
    <w:uiPriority w:val="99"/>
    <w:rsid w:val="002F0449"/>
    <w:pPr>
      <w:widowControl w:val="0"/>
      <w:tabs>
        <w:tab w:val="right" w:pos="1588"/>
        <w:tab w:val="left" w:pos="1701"/>
      </w:tabs>
      <w:autoSpaceDE w:val="0"/>
      <w:autoSpaceDN w:val="0"/>
      <w:adjustRightInd w:val="0"/>
      <w:spacing w:before="120" w:after="0" w:line="240" w:lineRule="auto"/>
      <w:ind w:left="1701" w:hanging="1701"/>
    </w:pPr>
    <w:rPr>
      <w:rFonts w:ascii="Verdana" w:hAnsi="Verdana"/>
      <w:color w:val="000000"/>
      <w:sz w:val="20"/>
      <w:szCs w:val="20"/>
    </w:rPr>
  </w:style>
  <w:style w:type="paragraph" w:customStyle="1" w:styleId="QlrQuote1">
    <w:name w:val="QlrQuote1"/>
    <w:uiPriority w:val="99"/>
    <w:rsid w:val="002F0449"/>
    <w:pPr>
      <w:widowControl w:val="0"/>
      <w:autoSpaceDE w:val="0"/>
      <w:autoSpaceDN w:val="0"/>
      <w:adjustRightInd w:val="0"/>
      <w:spacing w:before="60" w:after="0" w:line="240" w:lineRule="auto"/>
      <w:ind w:left="567"/>
    </w:pPr>
    <w:rPr>
      <w:rFonts w:ascii="Verdana" w:hAnsi="Verdana"/>
      <w:color w:val="000000"/>
      <w:sz w:val="18"/>
      <w:szCs w:val="18"/>
    </w:rPr>
  </w:style>
  <w:style w:type="paragraph" w:customStyle="1" w:styleId="QlrQuote10">
    <w:name w:val="QlrQuote1."/>
    <w:uiPriority w:val="99"/>
    <w:rsid w:val="002F0449"/>
    <w:pPr>
      <w:widowControl w:val="0"/>
      <w:tabs>
        <w:tab w:val="left" w:pos="567"/>
        <w:tab w:val="left" w:pos="1134"/>
      </w:tabs>
      <w:autoSpaceDE w:val="0"/>
      <w:autoSpaceDN w:val="0"/>
      <w:adjustRightInd w:val="0"/>
      <w:spacing w:after="0" w:line="240" w:lineRule="auto"/>
      <w:ind w:left="1134" w:hanging="1134"/>
    </w:pPr>
    <w:rPr>
      <w:rFonts w:ascii="Verdana" w:hAnsi="Verdana"/>
      <w:color w:val="000000"/>
      <w:sz w:val="18"/>
      <w:szCs w:val="18"/>
    </w:rPr>
  </w:style>
  <w:style w:type="paragraph" w:customStyle="1" w:styleId="QlrQuote1FLIndent">
    <w:name w:val="QlrQuote1FLIndent"/>
    <w:uiPriority w:val="99"/>
    <w:rsid w:val="002F0449"/>
    <w:pPr>
      <w:widowControl w:val="0"/>
      <w:autoSpaceDE w:val="0"/>
      <w:autoSpaceDN w:val="0"/>
      <w:adjustRightInd w:val="0"/>
      <w:spacing w:after="0" w:line="240" w:lineRule="auto"/>
      <w:ind w:left="567" w:firstLine="284"/>
    </w:pPr>
    <w:rPr>
      <w:rFonts w:ascii="Verdana" w:hAnsi="Verdana"/>
      <w:color w:val="000000"/>
      <w:sz w:val="18"/>
      <w:szCs w:val="18"/>
    </w:rPr>
  </w:style>
  <w:style w:type="paragraph" w:customStyle="1" w:styleId="QlrQuote2">
    <w:name w:val="QlrQuote2"/>
    <w:uiPriority w:val="99"/>
    <w:rsid w:val="002F0449"/>
    <w:pPr>
      <w:widowControl w:val="0"/>
      <w:autoSpaceDE w:val="0"/>
      <w:autoSpaceDN w:val="0"/>
      <w:adjustRightInd w:val="0"/>
      <w:spacing w:before="60" w:after="0" w:line="240" w:lineRule="auto"/>
      <w:ind w:left="1134"/>
    </w:pPr>
    <w:rPr>
      <w:rFonts w:ascii="Verdana" w:hAnsi="Verdana"/>
      <w:color w:val="000000"/>
      <w:sz w:val="18"/>
      <w:szCs w:val="18"/>
    </w:rPr>
  </w:style>
  <w:style w:type="paragraph" w:customStyle="1" w:styleId="QlrQuote2FLIndent">
    <w:name w:val="QlrQuote2FLIndent"/>
    <w:uiPriority w:val="99"/>
    <w:rsid w:val="002F0449"/>
    <w:pPr>
      <w:widowControl w:val="0"/>
      <w:autoSpaceDE w:val="0"/>
      <w:autoSpaceDN w:val="0"/>
      <w:adjustRightInd w:val="0"/>
      <w:spacing w:after="0" w:line="240" w:lineRule="auto"/>
      <w:ind w:left="1134" w:firstLine="284"/>
    </w:pPr>
    <w:rPr>
      <w:rFonts w:ascii="Verdana" w:hAnsi="Verdana"/>
      <w:color w:val="000000"/>
      <w:sz w:val="18"/>
      <w:szCs w:val="18"/>
    </w:rPr>
  </w:style>
  <w:style w:type="paragraph" w:customStyle="1" w:styleId="QlrQuoteIndt1">
    <w:name w:val="QlrQuoteIndt1"/>
    <w:uiPriority w:val="99"/>
    <w:rsid w:val="002F0449"/>
    <w:pPr>
      <w:widowControl w:val="0"/>
      <w:tabs>
        <w:tab w:val="left" w:pos="567"/>
        <w:tab w:val="left" w:pos="1134"/>
      </w:tabs>
      <w:autoSpaceDE w:val="0"/>
      <w:autoSpaceDN w:val="0"/>
      <w:adjustRightInd w:val="0"/>
      <w:spacing w:before="60" w:after="0" w:line="240" w:lineRule="auto"/>
      <w:ind w:left="1134" w:hanging="1134"/>
    </w:pPr>
    <w:rPr>
      <w:rFonts w:ascii="Verdana" w:hAnsi="Verdana"/>
      <w:color w:val="000000"/>
      <w:sz w:val="18"/>
      <w:szCs w:val="18"/>
    </w:rPr>
  </w:style>
  <w:style w:type="paragraph" w:customStyle="1" w:styleId="QlrQuoteIndt1Hang">
    <w:name w:val="QlrQuoteIndt1Hang"/>
    <w:uiPriority w:val="99"/>
    <w:rsid w:val="002F0449"/>
    <w:pPr>
      <w:widowControl w:val="0"/>
      <w:autoSpaceDE w:val="0"/>
      <w:autoSpaceDN w:val="0"/>
      <w:adjustRightInd w:val="0"/>
      <w:spacing w:before="60" w:after="0" w:line="240" w:lineRule="auto"/>
      <w:ind w:left="1134"/>
    </w:pPr>
    <w:rPr>
      <w:rFonts w:ascii="Verdana" w:hAnsi="Verdana"/>
      <w:color w:val="000000"/>
      <w:sz w:val="18"/>
      <w:szCs w:val="18"/>
    </w:rPr>
  </w:style>
  <w:style w:type="paragraph" w:customStyle="1" w:styleId="QlrQuoteIndt2i">
    <w:name w:val="QlrQuoteIndt2i"/>
    <w:uiPriority w:val="99"/>
    <w:rsid w:val="002F0449"/>
    <w:pPr>
      <w:widowControl w:val="0"/>
      <w:tabs>
        <w:tab w:val="right" w:pos="1588"/>
        <w:tab w:val="left" w:pos="1701"/>
      </w:tabs>
      <w:autoSpaceDE w:val="0"/>
      <w:autoSpaceDN w:val="0"/>
      <w:adjustRightInd w:val="0"/>
      <w:spacing w:before="60" w:after="0" w:line="240" w:lineRule="auto"/>
      <w:ind w:left="1701" w:hanging="1701"/>
    </w:pPr>
    <w:rPr>
      <w:rFonts w:ascii="Verdana" w:hAnsi="Verdana"/>
      <w:color w:val="000000"/>
      <w:sz w:val="18"/>
      <w:szCs w:val="18"/>
    </w:rPr>
  </w:style>
  <w:style w:type="paragraph" w:customStyle="1" w:styleId="QlrSubjectArea">
    <w:name w:val="QlrSubjectArea"/>
    <w:uiPriority w:val="99"/>
    <w:rsid w:val="002F0449"/>
    <w:pPr>
      <w:widowControl w:val="0"/>
      <w:autoSpaceDE w:val="0"/>
      <w:autoSpaceDN w:val="0"/>
      <w:adjustRightInd w:val="0"/>
      <w:spacing w:before="240" w:after="120" w:line="240" w:lineRule="auto"/>
      <w:jc w:val="center"/>
    </w:pPr>
    <w:rPr>
      <w:rFonts w:ascii="Verdana" w:hAnsi="Verdana"/>
      <w:b/>
      <w:bCs/>
      <w:color w:val="008080"/>
      <w:sz w:val="30"/>
      <w:szCs w:val="30"/>
    </w:rPr>
  </w:style>
  <w:style w:type="paragraph" w:customStyle="1" w:styleId="QT">
    <w:name w:val="QT"/>
    <w:uiPriority w:val="99"/>
    <w:rsid w:val="002F0449"/>
    <w:pPr>
      <w:widowControl w:val="0"/>
      <w:autoSpaceDE w:val="0"/>
      <w:autoSpaceDN w:val="0"/>
      <w:adjustRightInd w:val="0"/>
      <w:spacing w:after="0" w:line="240" w:lineRule="auto"/>
    </w:pPr>
    <w:rPr>
      <w:rFonts w:ascii="Verdana" w:hAnsi="Verdana"/>
      <w:sz w:val="18"/>
      <w:szCs w:val="18"/>
    </w:rPr>
  </w:style>
  <w:style w:type="paragraph" w:customStyle="1" w:styleId="QT-AlphaTable">
    <w:name w:val="QT-AlphaTable"/>
    <w:uiPriority w:val="99"/>
    <w:rsid w:val="002F0449"/>
    <w:pPr>
      <w:widowControl w:val="0"/>
      <w:tabs>
        <w:tab w:val="left" w:pos="360"/>
        <w:tab w:val="left" w:pos="900"/>
        <w:tab w:val="left" w:pos="1440"/>
        <w:tab w:val="left" w:pos="1980"/>
        <w:tab w:val="left" w:pos="2520"/>
        <w:tab w:val="left" w:pos="2880"/>
        <w:tab w:val="left" w:pos="3240"/>
        <w:tab w:val="left" w:pos="3600"/>
      </w:tabs>
      <w:autoSpaceDE w:val="0"/>
      <w:autoSpaceDN w:val="0"/>
      <w:adjustRightInd w:val="0"/>
      <w:spacing w:after="0" w:line="240" w:lineRule="auto"/>
      <w:jc w:val="center"/>
    </w:pPr>
    <w:rPr>
      <w:rFonts w:ascii="Verdana" w:hAnsi="Verdana"/>
      <w:b/>
      <w:bCs/>
      <w:color w:val="000000"/>
      <w:sz w:val="18"/>
      <w:szCs w:val="18"/>
    </w:rPr>
  </w:style>
  <w:style w:type="paragraph" w:customStyle="1" w:styleId="QT-Centered">
    <w:name w:val="QT-Centered"/>
    <w:uiPriority w:val="99"/>
    <w:rsid w:val="002F0449"/>
    <w:pPr>
      <w:widowControl w:val="0"/>
      <w:tabs>
        <w:tab w:val="center" w:pos="283"/>
        <w:tab w:val="center" w:pos="567"/>
        <w:tab w:val="center" w:pos="850"/>
        <w:tab w:val="center" w:pos="1134"/>
        <w:tab w:val="center" w:pos="1417"/>
        <w:tab w:val="center" w:pos="1701"/>
        <w:tab w:val="center" w:pos="1984"/>
        <w:tab w:val="center" w:pos="2268"/>
        <w:tab w:val="center" w:pos="2551"/>
        <w:tab w:val="center" w:pos="2835"/>
      </w:tabs>
      <w:autoSpaceDE w:val="0"/>
      <w:autoSpaceDN w:val="0"/>
      <w:adjustRightInd w:val="0"/>
      <w:spacing w:after="181" w:line="240" w:lineRule="auto"/>
      <w:jc w:val="center"/>
    </w:pPr>
    <w:rPr>
      <w:rFonts w:ascii="Verdana" w:hAnsi="Verdana"/>
      <w:color w:val="000000"/>
      <w:sz w:val="18"/>
      <w:szCs w:val="18"/>
    </w:rPr>
  </w:style>
  <w:style w:type="paragraph" w:customStyle="1" w:styleId="QT-Centred">
    <w:name w:val="QT-Centred"/>
    <w:uiPriority w:val="99"/>
    <w:rsid w:val="002F0449"/>
    <w:pPr>
      <w:widowControl w:val="0"/>
      <w:tabs>
        <w:tab w:val="left" w:pos="283"/>
        <w:tab w:val="left" w:pos="567"/>
        <w:tab w:val="left" w:pos="850"/>
        <w:tab w:val="left" w:pos="1134"/>
        <w:tab w:val="left" w:pos="1417"/>
        <w:tab w:val="left" w:pos="1700"/>
        <w:tab w:val="left" w:pos="1984"/>
        <w:tab w:val="left" w:pos="2268"/>
        <w:tab w:val="left" w:pos="2551"/>
        <w:tab w:val="left" w:pos="2835"/>
      </w:tabs>
      <w:autoSpaceDE w:val="0"/>
      <w:autoSpaceDN w:val="0"/>
      <w:adjustRightInd w:val="0"/>
      <w:spacing w:after="0" w:line="240" w:lineRule="auto"/>
      <w:jc w:val="center"/>
    </w:pPr>
    <w:rPr>
      <w:rFonts w:ascii="Verdana" w:hAnsi="Verdana"/>
      <w:color w:val="000000"/>
      <w:sz w:val="18"/>
      <w:szCs w:val="18"/>
    </w:rPr>
  </w:style>
  <w:style w:type="paragraph" w:customStyle="1" w:styleId="QT-Field">
    <w:name w:val="QT-Field"/>
    <w:uiPriority w:val="99"/>
    <w:rsid w:val="002F0449"/>
    <w:pPr>
      <w:widowControl w:val="0"/>
      <w:tabs>
        <w:tab w:val="left" w:pos="283"/>
      </w:tabs>
      <w:autoSpaceDE w:val="0"/>
      <w:autoSpaceDN w:val="0"/>
      <w:adjustRightInd w:val="0"/>
      <w:spacing w:after="17" w:line="240" w:lineRule="auto"/>
    </w:pPr>
    <w:rPr>
      <w:rFonts w:ascii="Verdana" w:hAnsi="Verdana"/>
      <w:color w:val="000000"/>
      <w:sz w:val="20"/>
      <w:szCs w:val="20"/>
    </w:rPr>
  </w:style>
  <w:style w:type="paragraph" w:customStyle="1" w:styleId="QT-I">
    <w:name w:val="QT-I"/>
    <w:uiPriority w:val="99"/>
    <w:rsid w:val="002F0449"/>
    <w:pPr>
      <w:widowControl w:val="0"/>
      <w:tabs>
        <w:tab w:val="left" w:pos="283"/>
      </w:tabs>
      <w:autoSpaceDE w:val="0"/>
      <w:autoSpaceDN w:val="0"/>
      <w:adjustRightInd w:val="0"/>
      <w:spacing w:after="0" w:line="240" w:lineRule="auto"/>
      <w:ind w:left="283" w:hanging="283"/>
    </w:pPr>
    <w:rPr>
      <w:rFonts w:ascii="Verdana" w:hAnsi="Verdana"/>
      <w:color w:val="000000"/>
      <w:sz w:val="18"/>
      <w:szCs w:val="18"/>
    </w:rPr>
  </w:style>
  <w:style w:type="paragraph" w:customStyle="1" w:styleId="QT-IBold">
    <w:name w:val="QT-IBold"/>
    <w:uiPriority w:val="99"/>
    <w:rsid w:val="002F0449"/>
    <w:pPr>
      <w:widowControl w:val="0"/>
      <w:tabs>
        <w:tab w:val="left" w:pos="283"/>
        <w:tab w:val="left" w:pos="578"/>
        <w:tab w:val="left" w:pos="862"/>
        <w:tab w:val="left" w:pos="1440"/>
        <w:tab w:val="left" w:pos="2013"/>
        <w:tab w:val="left" w:pos="2591"/>
        <w:tab w:val="left" w:pos="3311"/>
      </w:tabs>
      <w:autoSpaceDE w:val="0"/>
      <w:autoSpaceDN w:val="0"/>
      <w:adjustRightInd w:val="0"/>
      <w:spacing w:after="181" w:line="240" w:lineRule="auto"/>
      <w:ind w:left="283" w:hanging="283"/>
    </w:pPr>
    <w:rPr>
      <w:rFonts w:ascii="Verdana" w:hAnsi="Verdana"/>
      <w:b/>
      <w:bCs/>
      <w:color w:val="000000"/>
      <w:sz w:val="18"/>
      <w:szCs w:val="18"/>
    </w:rPr>
  </w:style>
  <w:style w:type="paragraph" w:customStyle="1" w:styleId="QT-IBold0">
    <w:name w:val="QT-I Bold"/>
    <w:uiPriority w:val="99"/>
    <w:rsid w:val="002F0449"/>
    <w:pPr>
      <w:widowControl w:val="0"/>
      <w:tabs>
        <w:tab w:val="left" w:pos="283"/>
        <w:tab w:val="left" w:pos="578"/>
        <w:tab w:val="left" w:pos="862"/>
        <w:tab w:val="left" w:pos="1440"/>
        <w:tab w:val="left" w:pos="2017"/>
        <w:tab w:val="left" w:pos="2591"/>
        <w:tab w:val="left" w:pos="3311"/>
      </w:tabs>
      <w:autoSpaceDE w:val="0"/>
      <w:autoSpaceDN w:val="0"/>
      <w:adjustRightInd w:val="0"/>
      <w:spacing w:after="181" w:line="240" w:lineRule="auto"/>
      <w:ind w:left="283" w:hanging="283"/>
    </w:pPr>
    <w:rPr>
      <w:rFonts w:ascii="Verdana" w:hAnsi="Verdana"/>
      <w:b/>
      <w:bCs/>
      <w:color w:val="000000"/>
      <w:sz w:val="20"/>
      <w:szCs w:val="20"/>
    </w:rPr>
  </w:style>
  <w:style w:type="paragraph" w:customStyle="1" w:styleId="QT-ITable">
    <w:name w:val="QT-I Table"/>
    <w:uiPriority w:val="99"/>
    <w:rsid w:val="002F0449"/>
    <w:pPr>
      <w:widowControl w:val="0"/>
      <w:tabs>
        <w:tab w:val="left" w:pos="283"/>
      </w:tabs>
      <w:autoSpaceDE w:val="0"/>
      <w:autoSpaceDN w:val="0"/>
      <w:adjustRightInd w:val="0"/>
      <w:spacing w:after="0" w:line="240" w:lineRule="auto"/>
      <w:ind w:left="283" w:hanging="283"/>
    </w:pPr>
    <w:rPr>
      <w:rFonts w:ascii="Verdana" w:hAnsi="Verdana"/>
      <w:color w:val="000000"/>
      <w:sz w:val="16"/>
      <w:szCs w:val="16"/>
    </w:rPr>
  </w:style>
  <w:style w:type="paragraph" w:customStyle="1" w:styleId="QT-ITable0">
    <w:name w:val="QT-I (Table)"/>
    <w:uiPriority w:val="99"/>
    <w:rsid w:val="002F0449"/>
    <w:pPr>
      <w:widowControl w:val="0"/>
      <w:tabs>
        <w:tab w:val="left" w:pos="283"/>
      </w:tabs>
      <w:autoSpaceDE w:val="0"/>
      <w:autoSpaceDN w:val="0"/>
      <w:adjustRightInd w:val="0"/>
      <w:spacing w:after="0" w:line="240" w:lineRule="auto"/>
      <w:ind w:left="283" w:hanging="283"/>
    </w:pPr>
    <w:rPr>
      <w:rFonts w:ascii="Verdana" w:hAnsi="Verdana"/>
      <w:color w:val="000000"/>
      <w:sz w:val="18"/>
      <w:szCs w:val="18"/>
    </w:rPr>
  </w:style>
  <w:style w:type="paragraph" w:customStyle="1" w:styleId="QT-Left">
    <w:name w:val="QT-Left"/>
    <w:uiPriority w:val="99"/>
    <w:rsid w:val="002F0449"/>
    <w:pPr>
      <w:widowControl w:val="0"/>
      <w:tabs>
        <w:tab w:val="left" w:pos="283"/>
        <w:tab w:val="left" w:pos="567"/>
        <w:tab w:val="left" w:pos="850"/>
        <w:tab w:val="left" w:pos="1134"/>
        <w:tab w:val="left" w:pos="1417"/>
        <w:tab w:val="left" w:pos="1700"/>
        <w:tab w:val="left" w:pos="1984"/>
        <w:tab w:val="left" w:pos="2268"/>
        <w:tab w:val="left" w:pos="2551"/>
        <w:tab w:val="left" w:pos="2835"/>
      </w:tabs>
      <w:autoSpaceDE w:val="0"/>
      <w:autoSpaceDN w:val="0"/>
      <w:adjustRightInd w:val="0"/>
      <w:spacing w:after="0" w:line="240" w:lineRule="auto"/>
      <w:jc w:val="right"/>
    </w:pPr>
    <w:rPr>
      <w:rFonts w:ascii="Times New Roman" w:hAnsi="Times New Roman" w:cs="Times New Roman"/>
      <w:sz w:val="18"/>
      <w:szCs w:val="18"/>
    </w:rPr>
  </w:style>
  <w:style w:type="paragraph" w:customStyle="1" w:styleId="QT-RI">
    <w:name w:val="QT-RI"/>
    <w:uiPriority w:val="99"/>
    <w:rsid w:val="002F0449"/>
    <w:pPr>
      <w:widowControl w:val="0"/>
      <w:tabs>
        <w:tab w:val="right" w:pos="567"/>
        <w:tab w:val="left" w:pos="862"/>
        <w:tab w:val="left" w:pos="1293"/>
        <w:tab w:val="left" w:pos="1865"/>
        <w:tab w:val="left" w:pos="2443"/>
        <w:tab w:val="left" w:pos="3163"/>
      </w:tabs>
      <w:autoSpaceDE w:val="0"/>
      <w:autoSpaceDN w:val="0"/>
      <w:adjustRightInd w:val="0"/>
      <w:spacing w:after="181" w:line="240" w:lineRule="auto"/>
      <w:ind w:left="862" w:hanging="862"/>
    </w:pPr>
    <w:rPr>
      <w:rFonts w:ascii="Verdana" w:hAnsi="Verdana"/>
      <w:color w:val="000000"/>
      <w:sz w:val="18"/>
      <w:szCs w:val="18"/>
    </w:rPr>
  </w:style>
  <w:style w:type="paragraph" w:customStyle="1" w:styleId="QT-Right">
    <w:name w:val="QT-Right"/>
    <w:uiPriority w:val="99"/>
    <w:rsid w:val="002F0449"/>
    <w:pPr>
      <w:widowControl w:val="0"/>
      <w:autoSpaceDE w:val="0"/>
      <w:autoSpaceDN w:val="0"/>
      <w:adjustRightInd w:val="0"/>
      <w:spacing w:after="181" w:line="240" w:lineRule="auto"/>
      <w:jc w:val="right"/>
    </w:pPr>
    <w:rPr>
      <w:rFonts w:ascii="Verdana" w:hAnsi="Verdana"/>
      <w:color w:val="000000"/>
      <w:sz w:val="18"/>
      <w:szCs w:val="18"/>
    </w:rPr>
  </w:style>
  <w:style w:type="paragraph" w:customStyle="1" w:styleId="QT-Table">
    <w:name w:val="QT-Table"/>
    <w:uiPriority w:val="99"/>
    <w:rsid w:val="002F0449"/>
    <w:pPr>
      <w:widowControl w:val="0"/>
      <w:tabs>
        <w:tab w:val="center" w:pos="283"/>
        <w:tab w:val="center" w:pos="567"/>
        <w:tab w:val="center" w:pos="850"/>
        <w:tab w:val="center" w:pos="1134"/>
        <w:tab w:val="center" w:pos="1417"/>
        <w:tab w:val="center" w:pos="1701"/>
        <w:tab w:val="center" w:pos="1984"/>
        <w:tab w:val="center" w:pos="2268"/>
        <w:tab w:val="center" w:pos="2551"/>
        <w:tab w:val="left" w:pos="2835"/>
      </w:tabs>
      <w:autoSpaceDE w:val="0"/>
      <w:autoSpaceDN w:val="0"/>
      <w:adjustRightInd w:val="0"/>
      <w:spacing w:after="181" w:line="240" w:lineRule="auto"/>
    </w:pPr>
    <w:rPr>
      <w:rFonts w:ascii="Verdana" w:hAnsi="Verdana"/>
      <w:color w:val="000000"/>
      <w:sz w:val="18"/>
      <w:szCs w:val="18"/>
    </w:rPr>
  </w:style>
  <w:style w:type="paragraph" w:customStyle="1" w:styleId="QT-TI">
    <w:name w:val="QT-TI"/>
    <w:uiPriority w:val="99"/>
    <w:rsid w:val="002F0449"/>
    <w:pPr>
      <w:widowControl w:val="0"/>
      <w:tabs>
        <w:tab w:val="left" w:pos="283"/>
        <w:tab w:val="left" w:pos="861"/>
        <w:tab w:val="left" w:pos="1293"/>
        <w:tab w:val="left" w:pos="1865"/>
        <w:tab w:val="left" w:pos="2443"/>
        <w:tab w:val="left" w:pos="3163"/>
      </w:tabs>
      <w:autoSpaceDE w:val="0"/>
      <w:autoSpaceDN w:val="0"/>
      <w:adjustRightInd w:val="0"/>
      <w:spacing w:after="0" w:line="240" w:lineRule="auto"/>
      <w:ind w:left="861" w:hanging="861"/>
    </w:pPr>
    <w:rPr>
      <w:rFonts w:ascii="Verdana" w:hAnsi="Verdana"/>
      <w:color w:val="000000"/>
      <w:sz w:val="18"/>
      <w:szCs w:val="18"/>
    </w:rPr>
  </w:style>
  <w:style w:type="paragraph" w:customStyle="1" w:styleId="QT-TRI">
    <w:name w:val="QT-TRI"/>
    <w:uiPriority w:val="99"/>
    <w:rsid w:val="002F0449"/>
    <w:pPr>
      <w:widowControl w:val="0"/>
      <w:tabs>
        <w:tab w:val="left" w:pos="283"/>
        <w:tab w:val="right" w:pos="862"/>
        <w:tab w:val="left" w:pos="1293"/>
        <w:tab w:val="left" w:pos="1865"/>
        <w:tab w:val="left" w:pos="2443"/>
        <w:tab w:val="left" w:pos="3163"/>
      </w:tabs>
      <w:autoSpaceDE w:val="0"/>
      <w:autoSpaceDN w:val="0"/>
      <w:adjustRightInd w:val="0"/>
      <w:spacing w:after="0" w:line="240" w:lineRule="auto"/>
      <w:ind w:left="1293" w:hanging="1293"/>
    </w:pPr>
    <w:rPr>
      <w:rFonts w:ascii="Verdana" w:hAnsi="Verdana"/>
      <w:color w:val="000000"/>
      <w:sz w:val="18"/>
      <w:szCs w:val="18"/>
    </w:rPr>
  </w:style>
  <w:style w:type="paragraph" w:customStyle="1" w:styleId="QT-TRTI">
    <w:name w:val="QT-TRTI"/>
    <w:uiPriority w:val="99"/>
    <w:rsid w:val="002F0449"/>
    <w:pPr>
      <w:widowControl w:val="0"/>
      <w:tabs>
        <w:tab w:val="left" w:pos="283"/>
        <w:tab w:val="right" w:pos="861"/>
        <w:tab w:val="left" w:pos="1293"/>
        <w:tab w:val="left" w:pos="1865"/>
        <w:tab w:val="left" w:pos="2443"/>
        <w:tab w:val="left" w:pos="3163"/>
      </w:tabs>
      <w:autoSpaceDE w:val="0"/>
      <w:autoSpaceDN w:val="0"/>
      <w:adjustRightInd w:val="0"/>
      <w:spacing w:after="0" w:line="240" w:lineRule="auto"/>
      <w:ind w:left="1835" w:hanging="1835"/>
    </w:pPr>
    <w:rPr>
      <w:rFonts w:ascii="Verdana" w:hAnsi="Verdana"/>
      <w:color w:val="000000"/>
      <w:sz w:val="18"/>
      <w:szCs w:val="18"/>
    </w:rPr>
  </w:style>
  <w:style w:type="paragraph" w:customStyle="1" w:styleId="QT-TTI">
    <w:name w:val="QT-TTI"/>
    <w:uiPriority w:val="99"/>
    <w:rsid w:val="002F0449"/>
    <w:pPr>
      <w:widowControl w:val="0"/>
      <w:tabs>
        <w:tab w:val="left" w:pos="283"/>
        <w:tab w:val="left" w:pos="713"/>
        <w:tab w:val="left" w:pos="1293"/>
        <w:tab w:val="left" w:pos="1865"/>
        <w:tab w:val="left" w:pos="2443"/>
        <w:tab w:val="left" w:pos="3163"/>
      </w:tabs>
      <w:autoSpaceDE w:val="0"/>
      <w:autoSpaceDN w:val="0"/>
      <w:adjustRightInd w:val="0"/>
      <w:spacing w:after="0" w:line="240" w:lineRule="auto"/>
      <w:ind w:left="1293" w:hanging="1293"/>
    </w:pPr>
    <w:rPr>
      <w:rFonts w:ascii="Verdana" w:hAnsi="Verdana"/>
      <w:color w:val="000000"/>
      <w:sz w:val="18"/>
      <w:szCs w:val="18"/>
    </w:rPr>
  </w:style>
  <w:style w:type="paragraph" w:customStyle="1" w:styleId="QT-TTRI">
    <w:name w:val="QT-TTRI"/>
    <w:uiPriority w:val="99"/>
    <w:rsid w:val="002F0449"/>
    <w:pPr>
      <w:widowControl w:val="0"/>
      <w:tabs>
        <w:tab w:val="left" w:pos="283"/>
        <w:tab w:val="left" w:pos="713"/>
        <w:tab w:val="right" w:pos="1433"/>
        <w:tab w:val="left" w:pos="1865"/>
        <w:tab w:val="left" w:pos="2443"/>
        <w:tab w:val="left" w:pos="3163"/>
      </w:tabs>
      <w:autoSpaceDE w:val="0"/>
      <w:autoSpaceDN w:val="0"/>
      <w:adjustRightInd w:val="0"/>
      <w:spacing w:after="0" w:line="240" w:lineRule="auto"/>
      <w:ind w:left="1865" w:hanging="1865"/>
    </w:pPr>
    <w:rPr>
      <w:rFonts w:ascii="Verdana" w:hAnsi="Verdana"/>
      <w:color w:val="000000"/>
      <w:sz w:val="18"/>
      <w:szCs w:val="18"/>
    </w:rPr>
  </w:style>
  <w:style w:type="paragraph" w:customStyle="1" w:styleId="QT-TTRTI">
    <w:name w:val="QT-TTRTI"/>
    <w:uiPriority w:val="99"/>
    <w:rsid w:val="002F0449"/>
    <w:pPr>
      <w:widowControl w:val="0"/>
      <w:tabs>
        <w:tab w:val="left" w:pos="283"/>
        <w:tab w:val="left" w:pos="862"/>
        <w:tab w:val="decimal" w:pos="1531"/>
        <w:tab w:val="left" w:pos="1865"/>
        <w:tab w:val="left" w:pos="2443"/>
        <w:tab w:val="left" w:pos="3163"/>
      </w:tabs>
      <w:autoSpaceDE w:val="0"/>
      <w:autoSpaceDN w:val="0"/>
      <w:adjustRightInd w:val="0"/>
      <w:spacing w:after="181" w:line="240" w:lineRule="auto"/>
      <w:ind w:left="2443" w:hanging="2443"/>
    </w:pPr>
    <w:rPr>
      <w:rFonts w:ascii="Verdana" w:hAnsi="Verdana"/>
      <w:color w:val="000000"/>
      <w:sz w:val="18"/>
      <w:szCs w:val="18"/>
    </w:rPr>
  </w:style>
  <w:style w:type="paragraph" w:customStyle="1" w:styleId="QT-TTTI">
    <w:name w:val="QT-TTTI"/>
    <w:uiPriority w:val="99"/>
    <w:rsid w:val="002F0449"/>
    <w:pPr>
      <w:widowControl w:val="0"/>
      <w:tabs>
        <w:tab w:val="left" w:pos="283"/>
        <w:tab w:val="left" w:pos="713"/>
        <w:tab w:val="left" w:pos="1293"/>
        <w:tab w:val="left" w:pos="1865"/>
        <w:tab w:val="left" w:pos="2443"/>
        <w:tab w:val="left" w:pos="3163"/>
      </w:tabs>
      <w:autoSpaceDE w:val="0"/>
      <w:autoSpaceDN w:val="0"/>
      <w:adjustRightInd w:val="0"/>
      <w:spacing w:after="0" w:line="240" w:lineRule="auto"/>
      <w:ind w:left="1865" w:hanging="1865"/>
    </w:pPr>
    <w:rPr>
      <w:rFonts w:ascii="Verdana" w:hAnsi="Verdana"/>
      <w:color w:val="000000"/>
      <w:sz w:val="18"/>
      <w:szCs w:val="18"/>
    </w:rPr>
  </w:style>
  <w:style w:type="paragraph" w:customStyle="1" w:styleId="QT-TTTRI">
    <w:name w:val="QT-TTTRI"/>
    <w:uiPriority w:val="99"/>
    <w:rsid w:val="002F0449"/>
    <w:pPr>
      <w:widowControl w:val="0"/>
      <w:tabs>
        <w:tab w:val="left" w:pos="283"/>
        <w:tab w:val="left" w:pos="713"/>
        <w:tab w:val="left" w:pos="1293"/>
        <w:tab w:val="right" w:pos="2096"/>
        <w:tab w:val="left" w:pos="2529"/>
        <w:tab w:val="left" w:pos="3163"/>
      </w:tabs>
      <w:autoSpaceDE w:val="0"/>
      <w:autoSpaceDN w:val="0"/>
      <w:adjustRightInd w:val="0"/>
      <w:spacing w:after="0" w:line="240" w:lineRule="auto"/>
      <w:ind w:left="2529" w:hanging="2529"/>
    </w:pPr>
    <w:rPr>
      <w:rFonts w:ascii="Verdana" w:hAnsi="Verdana"/>
      <w:color w:val="000000"/>
      <w:sz w:val="18"/>
      <w:szCs w:val="18"/>
    </w:rPr>
  </w:style>
  <w:style w:type="paragraph" w:customStyle="1" w:styleId="QT-TTTTI">
    <w:name w:val="QT-TTTTI"/>
    <w:uiPriority w:val="99"/>
    <w:rsid w:val="002F0449"/>
    <w:pPr>
      <w:widowControl w:val="0"/>
      <w:tabs>
        <w:tab w:val="left" w:pos="283"/>
        <w:tab w:val="left" w:pos="713"/>
        <w:tab w:val="left" w:pos="1293"/>
        <w:tab w:val="left" w:pos="1865"/>
        <w:tab w:val="left" w:pos="2443"/>
        <w:tab w:val="left" w:pos="3163"/>
      </w:tabs>
      <w:autoSpaceDE w:val="0"/>
      <w:autoSpaceDN w:val="0"/>
      <w:adjustRightInd w:val="0"/>
      <w:spacing w:after="0" w:line="240" w:lineRule="auto"/>
      <w:ind w:left="2443" w:hanging="2443"/>
    </w:pPr>
    <w:rPr>
      <w:rFonts w:ascii="Verdana" w:hAnsi="Verdana"/>
      <w:color w:val="000000"/>
      <w:sz w:val="18"/>
      <w:szCs w:val="18"/>
    </w:rPr>
  </w:style>
  <w:style w:type="paragraph" w:customStyle="1" w:styleId="QT-TTTTTI">
    <w:name w:val="QT-TTTTTI"/>
    <w:uiPriority w:val="99"/>
    <w:rsid w:val="002F0449"/>
    <w:pPr>
      <w:widowControl w:val="0"/>
      <w:tabs>
        <w:tab w:val="left" w:pos="283"/>
        <w:tab w:val="left" w:pos="714"/>
        <w:tab w:val="left" w:pos="1293"/>
        <w:tab w:val="left" w:pos="1865"/>
        <w:tab w:val="left" w:pos="2443"/>
        <w:tab w:val="left" w:pos="3163"/>
      </w:tabs>
      <w:autoSpaceDE w:val="0"/>
      <w:autoSpaceDN w:val="0"/>
      <w:adjustRightInd w:val="0"/>
      <w:spacing w:after="181" w:line="240" w:lineRule="auto"/>
      <w:ind w:left="3163" w:hanging="3163"/>
    </w:pPr>
    <w:rPr>
      <w:rFonts w:ascii="Verdana" w:hAnsi="Verdana"/>
      <w:color w:val="000000"/>
      <w:sz w:val="16"/>
      <w:szCs w:val="16"/>
    </w:rPr>
  </w:style>
  <w:style w:type="paragraph" w:customStyle="1" w:styleId="RI">
    <w:name w:val="RI"/>
    <w:uiPriority w:val="99"/>
    <w:rsid w:val="002F0449"/>
    <w:pPr>
      <w:widowControl w:val="0"/>
      <w:tabs>
        <w:tab w:val="right" w:pos="567"/>
        <w:tab w:val="left" w:pos="861"/>
        <w:tab w:val="left" w:pos="1293"/>
        <w:tab w:val="left" w:pos="1865"/>
        <w:tab w:val="left" w:pos="2443"/>
        <w:tab w:val="left" w:pos="3163"/>
      </w:tabs>
      <w:autoSpaceDE w:val="0"/>
      <w:autoSpaceDN w:val="0"/>
      <w:adjustRightInd w:val="0"/>
      <w:spacing w:after="181" w:line="240" w:lineRule="auto"/>
      <w:ind w:left="861" w:hanging="861"/>
    </w:pPr>
    <w:rPr>
      <w:rFonts w:ascii="Verdana" w:hAnsi="Verdana"/>
      <w:sz w:val="20"/>
      <w:szCs w:val="20"/>
    </w:rPr>
  </w:style>
  <w:style w:type="paragraph" w:customStyle="1" w:styleId="Right-Align">
    <w:name w:val="Right-Align"/>
    <w:uiPriority w:val="99"/>
    <w:rsid w:val="002F0449"/>
    <w:pPr>
      <w:widowControl w:val="0"/>
      <w:tabs>
        <w:tab w:val="left" w:pos="360"/>
        <w:tab w:val="left" w:pos="900"/>
        <w:tab w:val="left" w:pos="1440"/>
        <w:tab w:val="left" w:pos="1980"/>
        <w:tab w:val="left" w:pos="2520"/>
        <w:tab w:val="left" w:pos="2880"/>
        <w:tab w:val="left" w:pos="3240"/>
        <w:tab w:val="left" w:pos="3600"/>
      </w:tabs>
      <w:autoSpaceDE w:val="0"/>
      <w:autoSpaceDN w:val="0"/>
      <w:adjustRightInd w:val="0"/>
      <w:spacing w:after="0" w:line="240" w:lineRule="auto"/>
      <w:jc w:val="right"/>
    </w:pPr>
    <w:rPr>
      <w:rFonts w:ascii="Verdana" w:hAnsi="Verdana"/>
      <w:color w:val="000000"/>
      <w:sz w:val="20"/>
      <w:szCs w:val="20"/>
    </w:rPr>
  </w:style>
  <w:style w:type="paragraph" w:customStyle="1" w:styleId="TableCenteredBold">
    <w:name w:val="TableCenteredBold"/>
    <w:uiPriority w:val="99"/>
    <w:rsid w:val="002F0449"/>
    <w:pPr>
      <w:widowControl w:val="0"/>
      <w:autoSpaceDE w:val="0"/>
      <w:autoSpaceDN w:val="0"/>
      <w:adjustRightInd w:val="0"/>
      <w:spacing w:before="60" w:after="0" w:line="240" w:lineRule="auto"/>
      <w:jc w:val="center"/>
    </w:pPr>
    <w:rPr>
      <w:rFonts w:ascii="Verdana" w:hAnsi="Verdana"/>
      <w:b/>
      <w:bCs/>
      <w:color w:val="000000"/>
      <w:sz w:val="16"/>
      <w:szCs w:val="16"/>
    </w:rPr>
  </w:style>
  <w:style w:type="paragraph" w:customStyle="1" w:styleId="TableRightAlign">
    <w:name w:val="TableRightAlign"/>
    <w:uiPriority w:val="99"/>
    <w:rsid w:val="002F0449"/>
    <w:pPr>
      <w:widowControl w:val="0"/>
      <w:autoSpaceDE w:val="0"/>
      <w:autoSpaceDN w:val="0"/>
      <w:adjustRightInd w:val="0"/>
      <w:spacing w:after="0" w:line="240" w:lineRule="auto"/>
      <w:jc w:val="right"/>
    </w:pPr>
    <w:rPr>
      <w:rFonts w:ascii="Verdana" w:hAnsi="Verdana"/>
      <w:color w:val="000000"/>
      <w:sz w:val="18"/>
      <w:szCs w:val="18"/>
    </w:rPr>
  </w:style>
  <w:style w:type="paragraph" w:customStyle="1" w:styleId="TableText">
    <w:name w:val="TableText"/>
    <w:uiPriority w:val="99"/>
    <w:rsid w:val="002F0449"/>
    <w:pPr>
      <w:widowControl w:val="0"/>
      <w:autoSpaceDE w:val="0"/>
      <w:autoSpaceDN w:val="0"/>
      <w:adjustRightInd w:val="0"/>
      <w:spacing w:before="60" w:after="0" w:line="240" w:lineRule="auto"/>
    </w:pPr>
    <w:rPr>
      <w:rFonts w:ascii="Verdana" w:hAnsi="Verdana"/>
      <w:color w:val="000000"/>
      <w:sz w:val="16"/>
      <w:szCs w:val="16"/>
    </w:rPr>
  </w:style>
  <w:style w:type="paragraph" w:customStyle="1" w:styleId="TC">
    <w:name w:val="TC"/>
    <w:uiPriority w:val="99"/>
    <w:rsid w:val="002F0449"/>
    <w:pPr>
      <w:widowControl w:val="0"/>
      <w:tabs>
        <w:tab w:val="left" w:pos="288"/>
      </w:tabs>
      <w:autoSpaceDE w:val="0"/>
      <w:autoSpaceDN w:val="0"/>
      <w:adjustRightInd w:val="0"/>
      <w:spacing w:after="0" w:line="240" w:lineRule="auto"/>
      <w:ind w:left="288" w:hanging="288"/>
    </w:pPr>
    <w:rPr>
      <w:rFonts w:ascii="Verdana" w:hAnsi="Verdana"/>
      <w:color w:val="000000"/>
      <w:sz w:val="20"/>
      <w:szCs w:val="20"/>
    </w:rPr>
  </w:style>
  <w:style w:type="paragraph" w:customStyle="1" w:styleId="TI">
    <w:name w:val="TI"/>
    <w:uiPriority w:val="99"/>
    <w:rsid w:val="002F0449"/>
    <w:pPr>
      <w:widowControl w:val="0"/>
      <w:tabs>
        <w:tab w:val="left" w:pos="283"/>
        <w:tab w:val="left" w:pos="861"/>
        <w:tab w:val="left" w:pos="1293"/>
        <w:tab w:val="left" w:pos="1865"/>
        <w:tab w:val="left" w:pos="2443"/>
        <w:tab w:val="left" w:pos="3163"/>
      </w:tabs>
      <w:autoSpaceDE w:val="0"/>
      <w:autoSpaceDN w:val="0"/>
      <w:adjustRightInd w:val="0"/>
      <w:spacing w:after="181" w:line="240" w:lineRule="auto"/>
      <w:ind w:left="861" w:hanging="861"/>
    </w:pPr>
    <w:rPr>
      <w:rFonts w:ascii="Verdana" w:hAnsi="Verdana"/>
      <w:sz w:val="20"/>
      <w:szCs w:val="20"/>
    </w:rPr>
  </w:style>
  <w:style w:type="paragraph" w:customStyle="1" w:styleId="TRI">
    <w:name w:val="TRI"/>
    <w:uiPriority w:val="99"/>
    <w:rsid w:val="002F0449"/>
    <w:pPr>
      <w:widowControl w:val="0"/>
      <w:tabs>
        <w:tab w:val="left" w:pos="283"/>
        <w:tab w:val="right" w:pos="861"/>
        <w:tab w:val="left" w:pos="1293"/>
        <w:tab w:val="left" w:pos="1865"/>
        <w:tab w:val="left" w:pos="2443"/>
        <w:tab w:val="left" w:pos="3163"/>
      </w:tabs>
      <w:autoSpaceDE w:val="0"/>
      <w:autoSpaceDN w:val="0"/>
      <w:adjustRightInd w:val="0"/>
      <w:spacing w:after="181" w:line="240" w:lineRule="auto"/>
      <w:ind w:left="1293" w:hanging="1293"/>
    </w:pPr>
    <w:rPr>
      <w:rFonts w:ascii="Verdana" w:hAnsi="Verdana"/>
      <w:sz w:val="20"/>
      <w:szCs w:val="20"/>
    </w:rPr>
  </w:style>
  <w:style w:type="paragraph" w:customStyle="1" w:styleId="TTI">
    <w:name w:val="TTI"/>
    <w:uiPriority w:val="99"/>
    <w:rsid w:val="002F0449"/>
    <w:pPr>
      <w:widowControl w:val="0"/>
      <w:tabs>
        <w:tab w:val="left" w:pos="283"/>
        <w:tab w:val="left" w:pos="713"/>
        <w:tab w:val="left" w:pos="1293"/>
        <w:tab w:val="left" w:pos="1865"/>
        <w:tab w:val="left" w:pos="2443"/>
        <w:tab w:val="left" w:pos="3163"/>
      </w:tabs>
      <w:autoSpaceDE w:val="0"/>
      <w:autoSpaceDN w:val="0"/>
      <w:adjustRightInd w:val="0"/>
      <w:spacing w:after="181" w:line="240" w:lineRule="auto"/>
      <w:ind w:left="1293" w:hanging="1293"/>
    </w:pPr>
    <w:rPr>
      <w:rFonts w:ascii="Verdana" w:hAnsi="Verdana"/>
      <w:sz w:val="20"/>
      <w:szCs w:val="20"/>
    </w:rPr>
  </w:style>
  <w:style w:type="paragraph" w:customStyle="1" w:styleId="TTRI">
    <w:name w:val="TTRI"/>
    <w:uiPriority w:val="99"/>
    <w:rsid w:val="002F0449"/>
    <w:pPr>
      <w:widowControl w:val="0"/>
      <w:tabs>
        <w:tab w:val="left" w:pos="283"/>
        <w:tab w:val="left" w:pos="713"/>
        <w:tab w:val="right" w:pos="1433"/>
        <w:tab w:val="left" w:pos="1865"/>
        <w:tab w:val="left" w:pos="2443"/>
        <w:tab w:val="left" w:pos="3163"/>
      </w:tabs>
      <w:autoSpaceDE w:val="0"/>
      <w:autoSpaceDN w:val="0"/>
      <w:adjustRightInd w:val="0"/>
      <w:spacing w:after="181" w:line="240" w:lineRule="auto"/>
      <w:ind w:left="1865" w:hanging="1865"/>
    </w:pPr>
    <w:rPr>
      <w:rFonts w:ascii="Verdana" w:hAnsi="Verdana"/>
      <w:sz w:val="20"/>
      <w:szCs w:val="20"/>
    </w:rPr>
  </w:style>
  <w:style w:type="paragraph" w:customStyle="1" w:styleId="TTTI">
    <w:name w:val="TTTI"/>
    <w:uiPriority w:val="99"/>
    <w:rsid w:val="002F0449"/>
    <w:pPr>
      <w:widowControl w:val="0"/>
      <w:tabs>
        <w:tab w:val="left" w:pos="283"/>
        <w:tab w:val="left" w:pos="713"/>
        <w:tab w:val="left" w:pos="1293"/>
        <w:tab w:val="left" w:pos="1865"/>
        <w:tab w:val="left" w:pos="2443"/>
        <w:tab w:val="left" w:pos="3163"/>
      </w:tabs>
      <w:autoSpaceDE w:val="0"/>
      <w:autoSpaceDN w:val="0"/>
      <w:adjustRightInd w:val="0"/>
      <w:spacing w:after="181" w:line="240" w:lineRule="auto"/>
      <w:ind w:left="1865" w:hanging="1865"/>
    </w:pPr>
    <w:rPr>
      <w:rFonts w:ascii="Verdana" w:hAnsi="Verdana"/>
      <w:sz w:val="20"/>
      <w:szCs w:val="20"/>
    </w:rPr>
  </w:style>
  <w:style w:type="paragraph" w:customStyle="1" w:styleId="TTTRI">
    <w:name w:val="TTTRI"/>
    <w:uiPriority w:val="99"/>
    <w:rsid w:val="002F0449"/>
    <w:pPr>
      <w:widowControl w:val="0"/>
      <w:tabs>
        <w:tab w:val="left" w:pos="432"/>
        <w:tab w:val="left" w:pos="864"/>
        <w:tab w:val="left" w:pos="1440"/>
        <w:tab w:val="right" w:pos="2013"/>
        <w:tab w:val="left" w:pos="2591"/>
        <w:tab w:val="left" w:pos="3311"/>
      </w:tabs>
      <w:autoSpaceDE w:val="0"/>
      <w:autoSpaceDN w:val="0"/>
      <w:adjustRightInd w:val="0"/>
      <w:spacing w:after="181" w:line="240" w:lineRule="auto"/>
      <w:ind w:left="2591" w:hanging="2591"/>
    </w:pPr>
    <w:rPr>
      <w:rFonts w:ascii="Verdana" w:hAnsi="Verdana"/>
      <w:color w:val="000000"/>
      <w:sz w:val="20"/>
      <w:szCs w:val="20"/>
    </w:rPr>
  </w:style>
  <w:style w:type="paragraph" w:customStyle="1" w:styleId="TTTTI">
    <w:name w:val="TTTTI"/>
    <w:uiPriority w:val="99"/>
    <w:rsid w:val="002F0449"/>
    <w:pPr>
      <w:widowControl w:val="0"/>
      <w:tabs>
        <w:tab w:val="left" w:pos="283"/>
        <w:tab w:val="left" w:pos="861"/>
        <w:tab w:val="left" w:pos="1293"/>
        <w:tab w:val="left" w:pos="1865"/>
        <w:tab w:val="left" w:pos="2443"/>
        <w:tab w:val="left" w:pos="3163"/>
      </w:tabs>
      <w:autoSpaceDE w:val="0"/>
      <w:autoSpaceDN w:val="0"/>
      <w:adjustRightInd w:val="0"/>
      <w:spacing w:after="181" w:line="240" w:lineRule="auto"/>
      <w:ind w:left="2443" w:hanging="2443"/>
    </w:pPr>
    <w:rPr>
      <w:rFonts w:ascii="Verdana" w:hAnsi="Verdana"/>
      <w:sz w:val="20"/>
      <w:szCs w:val="20"/>
    </w:rPr>
  </w:style>
  <w:style w:type="paragraph" w:customStyle="1" w:styleId="TTTTT">
    <w:name w:val="TTTTT"/>
    <w:uiPriority w:val="99"/>
    <w:rsid w:val="002F0449"/>
    <w:pPr>
      <w:widowControl w:val="0"/>
      <w:tabs>
        <w:tab w:val="left" w:pos="540"/>
        <w:tab w:val="left" w:pos="1080"/>
        <w:tab w:val="left" w:pos="1620"/>
        <w:tab w:val="left" w:pos="2160"/>
        <w:tab w:val="left" w:pos="2700"/>
        <w:tab w:val="left" w:pos="3240"/>
      </w:tabs>
      <w:autoSpaceDE w:val="0"/>
      <w:autoSpaceDN w:val="0"/>
      <w:adjustRightInd w:val="0"/>
      <w:spacing w:after="0" w:line="240" w:lineRule="auto"/>
      <w:ind w:left="2700" w:hanging="2700"/>
    </w:pPr>
    <w:rPr>
      <w:rFonts w:ascii="Verdana" w:hAnsi="Verdana"/>
      <w:color w:val="000000"/>
      <w:sz w:val="20"/>
      <w:szCs w:val="20"/>
    </w:rPr>
  </w:style>
  <w:style w:type="paragraph" w:customStyle="1" w:styleId="TTTTTI">
    <w:name w:val="TTTTTI"/>
    <w:uiPriority w:val="99"/>
    <w:rsid w:val="002F0449"/>
    <w:pPr>
      <w:widowControl w:val="0"/>
      <w:tabs>
        <w:tab w:val="left" w:pos="283"/>
        <w:tab w:val="left" w:pos="714"/>
        <w:tab w:val="left" w:pos="1293"/>
        <w:tab w:val="left" w:pos="1865"/>
        <w:tab w:val="left" w:pos="2443"/>
        <w:tab w:val="left" w:pos="3163"/>
      </w:tabs>
      <w:autoSpaceDE w:val="0"/>
      <w:autoSpaceDN w:val="0"/>
      <w:adjustRightInd w:val="0"/>
      <w:spacing w:after="0" w:line="240" w:lineRule="auto"/>
      <w:ind w:left="3163" w:hanging="3163"/>
    </w:pPr>
    <w:rPr>
      <w:rFonts w:ascii="Verdana" w:hAnsi="Verdana"/>
      <w:color w:val="000000"/>
      <w:sz w:val="20"/>
      <w:szCs w:val="20"/>
    </w:rPr>
  </w:style>
  <w:style w:type="character" w:customStyle="1" w:styleId="FieldNormalBlue">
    <w:name w:val="Field Normal Blue"/>
    <w:uiPriority w:val="99"/>
    <w:rsid w:val="002F0449"/>
    <w:rPr>
      <w:rFonts w:cs="Verdana"/>
      <w:b/>
      <w:bCs/>
      <w:color w:val="008080"/>
      <w:sz w:val="18"/>
      <w:szCs w:val="18"/>
    </w:rPr>
  </w:style>
  <w:style w:type="character" w:customStyle="1" w:styleId="FNoteNum">
    <w:name w:val="FNoteNum"/>
    <w:uiPriority w:val="99"/>
    <w:rsid w:val="002F0449"/>
    <w:rPr>
      <w:rFonts w:cs="Verdana"/>
      <w:b/>
      <w:bCs/>
      <w:color w:val="008080"/>
      <w:position w:val="10"/>
      <w:sz w:val="16"/>
      <w:szCs w:val="16"/>
      <w:u w:val="single"/>
    </w:rPr>
  </w:style>
  <w:style w:type="character" w:customStyle="1" w:styleId="FNoteRef">
    <w:name w:val="FNoteRef"/>
    <w:uiPriority w:val="99"/>
    <w:rsid w:val="002F0449"/>
    <w:rPr>
      <w:rFonts w:cs="Verdana"/>
      <w:b/>
      <w:bCs/>
      <w:color w:val="008080"/>
      <w:position w:val="10"/>
      <w:sz w:val="16"/>
      <w:szCs w:val="16"/>
      <w:u w:val="single"/>
    </w:rPr>
  </w:style>
  <w:style w:type="character" w:customStyle="1" w:styleId="Hidden-Grey-8">
    <w:name w:val="Hidden - Grey - 8"/>
    <w:uiPriority w:val="99"/>
    <w:rsid w:val="002F0449"/>
    <w:rPr>
      <w:rFonts w:cs="Verdana"/>
      <w:vanish/>
      <w:color w:val="C0C0C0"/>
      <w:sz w:val="16"/>
      <w:szCs w:val="16"/>
    </w:rPr>
  </w:style>
  <w:style w:type="character" w:styleId="Hyperlink">
    <w:name w:val="Hyperlink"/>
    <w:basedOn w:val="DefaultParagraphFont"/>
    <w:uiPriority w:val="99"/>
    <w:rsid w:val="002F0449"/>
    <w:rPr>
      <w:rFonts w:cs="Verdana"/>
      <w:color w:val="0000FF"/>
      <w:sz w:val="18"/>
      <w:szCs w:val="18"/>
      <w:u w:val="single"/>
    </w:rPr>
  </w:style>
  <w:style w:type="character" w:customStyle="1" w:styleId="Mc">
    <w:name w:val="Mc"/>
    <w:uiPriority w:val="99"/>
    <w:rsid w:val="002F0449"/>
    <w:rPr>
      <w:rFonts w:cs="Verdana"/>
      <w:vanish/>
      <w:color w:val="000000"/>
      <w:sz w:val="14"/>
      <w:szCs w:val="14"/>
      <w:shd w:val="clear" w:color="000000" w:fill="C0C0C0"/>
    </w:rPr>
  </w:style>
  <w:style w:type="character" w:customStyle="1" w:styleId="QT-Bold">
    <w:name w:val="QT-Bold"/>
    <w:uiPriority w:val="99"/>
    <w:rsid w:val="002F0449"/>
    <w:rPr>
      <w:rFonts w:cs="Verdana"/>
      <w:b/>
      <w:bCs/>
      <w:color w:val="000000"/>
      <w:sz w:val="16"/>
      <w:szCs w:val="16"/>
    </w:rPr>
  </w:style>
  <w:style w:type="character" w:customStyle="1" w:styleId="Symbol">
    <w:name w:val="Symbol"/>
    <w:uiPriority w:val="99"/>
    <w:rsid w:val="002F0449"/>
    <w:rPr>
      <w:rFonts w:ascii="Symbol" w:hAnsi="Symbol" w:cs="Symbol"/>
      <w:color w:val="000000"/>
      <w:sz w:val="28"/>
      <w:szCs w:val="28"/>
    </w:rPr>
  </w:style>
  <w:style w:type="character" w:customStyle="1" w:styleId="ActName">
    <w:name w:val="ActName"/>
    <w:uiPriority w:val="99"/>
    <w:rsid w:val="002F0449"/>
  </w:style>
  <w:style w:type="character" w:customStyle="1" w:styleId="ActNameP">
    <w:name w:val="ActNameP"/>
    <w:uiPriority w:val="99"/>
    <w:rsid w:val="002F0449"/>
  </w:style>
  <w:style w:type="character" w:customStyle="1" w:styleId="ActNo">
    <w:name w:val="ActNo"/>
    <w:uiPriority w:val="99"/>
    <w:rsid w:val="002F0449"/>
  </w:style>
  <w:style w:type="character" w:customStyle="1" w:styleId="Acts">
    <w:name w:val="Acts"/>
    <w:uiPriority w:val="99"/>
    <w:rsid w:val="002F0449"/>
  </w:style>
  <w:style w:type="character" w:customStyle="1" w:styleId="ActSection">
    <w:name w:val="ActSection"/>
    <w:uiPriority w:val="99"/>
    <w:rsid w:val="002F0449"/>
  </w:style>
  <w:style w:type="character" w:customStyle="1" w:styleId="ActYear">
    <w:name w:val="ActYear"/>
    <w:uiPriority w:val="99"/>
    <w:rsid w:val="002F0449"/>
  </w:style>
  <w:style w:type="character" w:customStyle="1" w:styleId="AssignedActName">
    <w:name w:val="AssignedActName"/>
    <w:uiPriority w:val="99"/>
    <w:rsid w:val="002F0449"/>
  </w:style>
  <w:style w:type="character" w:customStyle="1" w:styleId="AssignedActs">
    <w:name w:val="AssignedActs"/>
    <w:uiPriority w:val="99"/>
    <w:rsid w:val="002F0449"/>
  </w:style>
  <w:style w:type="character" w:customStyle="1" w:styleId="CaseName">
    <w:name w:val="CaseName"/>
    <w:uiPriority w:val="99"/>
    <w:rsid w:val="002F0449"/>
  </w:style>
  <w:style w:type="character" w:customStyle="1" w:styleId="CaseNo">
    <w:name w:val="CaseNo"/>
    <w:uiPriority w:val="99"/>
    <w:rsid w:val="002F0449"/>
    <w:rPr>
      <w:rFonts w:cs="Verdana"/>
      <w:sz w:val="18"/>
      <w:szCs w:val="18"/>
    </w:rPr>
  </w:style>
  <w:style w:type="character" w:customStyle="1" w:styleId="CaseNo0">
    <w:name w:val="Case No"/>
    <w:uiPriority w:val="99"/>
    <w:rsid w:val="002F0449"/>
    <w:rPr>
      <w:rFonts w:cs="Verdana"/>
      <w:sz w:val="18"/>
      <w:szCs w:val="18"/>
    </w:rPr>
  </w:style>
  <w:style w:type="character" w:customStyle="1" w:styleId="CasePage">
    <w:name w:val="CasePage"/>
    <w:uiPriority w:val="99"/>
    <w:rsid w:val="002F0449"/>
  </w:style>
  <w:style w:type="character" w:customStyle="1" w:styleId="CaseVol">
    <w:name w:val="CaseVol"/>
    <w:uiPriority w:val="99"/>
    <w:rsid w:val="002F0449"/>
  </w:style>
  <w:style w:type="character" w:customStyle="1" w:styleId="CaseYear">
    <w:name w:val="CaseYear"/>
    <w:uiPriority w:val="99"/>
    <w:rsid w:val="002F0449"/>
  </w:style>
  <w:style w:type="character" w:customStyle="1" w:styleId="Citation">
    <w:name w:val="Citation"/>
    <w:uiPriority w:val="99"/>
    <w:rsid w:val="002F0449"/>
    <w:rPr>
      <w:rFonts w:cs="Verdana"/>
      <w:sz w:val="18"/>
      <w:szCs w:val="18"/>
    </w:rPr>
  </w:style>
  <w:style w:type="character" w:customStyle="1" w:styleId="CommRule">
    <w:name w:val="CommRule"/>
    <w:uiPriority w:val="99"/>
    <w:rsid w:val="002F0449"/>
  </w:style>
  <w:style w:type="character" w:customStyle="1" w:styleId="ComSection">
    <w:name w:val="ComSection"/>
    <w:uiPriority w:val="99"/>
    <w:rsid w:val="002F0449"/>
  </w:style>
  <w:style w:type="character" w:customStyle="1" w:styleId="Counsel">
    <w:name w:val="Counsel"/>
    <w:uiPriority w:val="99"/>
    <w:rsid w:val="002F0449"/>
    <w:rPr>
      <w:rFonts w:cs="Verdana"/>
      <w:sz w:val="18"/>
      <w:szCs w:val="18"/>
    </w:rPr>
  </w:style>
  <w:style w:type="character" w:customStyle="1" w:styleId="Court">
    <w:name w:val="Court"/>
    <w:uiPriority w:val="99"/>
    <w:rsid w:val="002F0449"/>
    <w:rPr>
      <w:rFonts w:cs="Verdana"/>
      <w:sz w:val="18"/>
      <w:szCs w:val="18"/>
    </w:rPr>
  </w:style>
  <w:style w:type="character" w:customStyle="1" w:styleId="FDArticle">
    <w:name w:val="FDArticle"/>
    <w:uiPriority w:val="99"/>
    <w:rsid w:val="002F0449"/>
  </w:style>
  <w:style w:type="character" w:customStyle="1" w:styleId="FDAuthor">
    <w:name w:val="FDAuthor"/>
    <w:uiPriority w:val="99"/>
    <w:rsid w:val="002F0449"/>
  </w:style>
  <w:style w:type="character" w:customStyle="1" w:styleId="FDPage">
    <w:name w:val="FDPage"/>
    <w:uiPriority w:val="99"/>
    <w:rsid w:val="002F0449"/>
  </w:style>
  <w:style w:type="character" w:customStyle="1" w:styleId="FDYear">
    <w:name w:val="FDYear"/>
    <w:uiPriority w:val="99"/>
    <w:rsid w:val="002F0449"/>
  </w:style>
  <w:style w:type="character" w:customStyle="1" w:styleId="FNote">
    <w:name w:val="FNote"/>
    <w:uiPriority w:val="99"/>
    <w:rsid w:val="002F0449"/>
  </w:style>
  <w:style w:type="character" w:customStyle="1" w:styleId="FNPopup">
    <w:name w:val="FNPopup"/>
    <w:uiPriority w:val="99"/>
    <w:rsid w:val="002F0449"/>
    <w:rPr>
      <w:rFonts w:cs="Verdana"/>
      <w:sz w:val="16"/>
      <w:szCs w:val="16"/>
    </w:rPr>
  </w:style>
  <w:style w:type="character" w:customStyle="1" w:styleId="ggMonth">
    <w:name w:val="ggMonth"/>
    <w:uiPriority w:val="99"/>
    <w:rsid w:val="002F0449"/>
  </w:style>
  <w:style w:type="character" w:customStyle="1" w:styleId="ggYear">
    <w:name w:val="ggYear"/>
    <w:uiPriority w:val="99"/>
    <w:rsid w:val="002F0449"/>
  </w:style>
  <w:style w:type="character" w:customStyle="1" w:styleId="GovernmentNotice">
    <w:name w:val="Government Notice"/>
    <w:uiPriority w:val="99"/>
    <w:rsid w:val="002F0449"/>
  </w:style>
  <w:style w:type="character" w:customStyle="1" w:styleId="Hearddate">
    <w:name w:val="Heard date"/>
    <w:uiPriority w:val="99"/>
    <w:rsid w:val="002F0449"/>
    <w:rPr>
      <w:rFonts w:cs="Verdana"/>
      <w:sz w:val="18"/>
      <w:szCs w:val="18"/>
    </w:rPr>
  </w:style>
  <w:style w:type="character" w:customStyle="1" w:styleId="HNote">
    <w:name w:val="HNote"/>
    <w:uiPriority w:val="99"/>
    <w:rsid w:val="002F0449"/>
  </w:style>
  <w:style w:type="character" w:customStyle="1" w:styleId="Images">
    <w:name w:val="Images"/>
    <w:uiPriority w:val="99"/>
    <w:rsid w:val="002F0449"/>
  </w:style>
  <w:style w:type="character" w:customStyle="1" w:styleId="Judge">
    <w:name w:val="Judge"/>
    <w:uiPriority w:val="99"/>
    <w:rsid w:val="002F0449"/>
    <w:rPr>
      <w:rFonts w:cs="Verdana"/>
      <w:sz w:val="18"/>
      <w:szCs w:val="18"/>
    </w:rPr>
  </w:style>
  <w:style w:type="character" w:customStyle="1" w:styleId="JudgmentDate">
    <w:name w:val="Judgment Date"/>
    <w:uiPriority w:val="99"/>
    <w:rsid w:val="002F0449"/>
    <w:rPr>
      <w:rFonts w:cs="Verdana"/>
      <w:sz w:val="18"/>
      <w:szCs w:val="18"/>
    </w:rPr>
  </w:style>
  <w:style w:type="character" w:customStyle="1" w:styleId="Name">
    <w:name w:val="Name"/>
    <w:uiPriority w:val="99"/>
    <w:rsid w:val="002F0449"/>
    <w:rPr>
      <w:b/>
      <w:bCs/>
      <w:color w:val="008000"/>
    </w:rPr>
  </w:style>
  <w:style w:type="character" w:customStyle="1" w:styleId="Note">
    <w:name w:val="Note"/>
    <w:uiPriority w:val="99"/>
    <w:rsid w:val="002F0449"/>
  </w:style>
  <w:style w:type="character" w:customStyle="1" w:styleId="Notice">
    <w:name w:val="Notice"/>
    <w:uiPriority w:val="99"/>
    <w:rsid w:val="002F0449"/>
  </w:style>
  <w:style w:type="character" w:customStyle="1" w:styleId="OrdinanceName">
    <w:name w:val="OrdinanceName"/>
    <w:uiPriority w:val="99"/>
    <w:rsid w:val="002F0449"/>
  </w:style>
  <w:style w:type="character" w:customStyle="1" w:styleId="Ordinances">
    <w:name w:val="Ordinances"/>
    <w:uiPriority w:val="99"/>
    <w:rsid w:val="002F0449"/>
    <w:rPr>
      <w:rFonts w:cs="Verdana"/>
      <w:vanish/>
      <w:color w:val="C0C0C0"/>
      <w:sz w:val="18"/>
      <w:szCs w:val="18"/>
    </w:rPr>
  </w:style>
  <w:style w:type="character" w:customStyle="1" w:styleId="Ordonnansies">
    <w:name w:val="Ordonnansies"/>
    <w:uiPriority w:val="99"/>
    <w:rsid w:val="002F0449"/>
  </w:style>
  <w:style w:type="character" w:customStyle="1" w:styleId="Popup">
    <w:name w:val="Popup"/>
    <w:uiPriority w:val="99"/>
    <w:rsid w:val="002F0449"/>
  </w:style>
  <w:style w:type="character" w:customStyle="1" w:styleId="provActName">
    <w:name w:val="provActName"/>
    <w:uiPriority w:val="99"/>
    <w:rsid w:val="002F0449"/>
  </w:style>
  <w:style w:type="character" w:customStyle="1" w:styleId="provAssignedActs">
    <w:name w:val="provAssignedActs"/>
    <w:uiPriority w:val="99"/>
    <w:rsid w:val="002F0449"/>
    <w:rPr>
      <w:vanish/>
    </w:rPr>
  </w:style>
  <w:style w:type="character" w:customStyle="1" w:styleId="ProvincialActName">
    <w:name w:val="ProvincialActName"/>
    <w:uiPriority w:val="99"/>
    <w:rsid w:val="002F0449"/>
  </w:style>
  <w:style w:type="character" w:customStyle="1" w:styleId="ProvincialActs">
    <w:name w:val="ProvincialActs"/>
    <w:uiPriority w:val="99"/>
    <w:rsid w:val="002F0449"/>
  </w:style>
  <w:style w:type="character" w:customStyle="1" w:styleId="provNoticeName">
    <w:name w:val="provNoticeName"/>
    <w:uiPriority w:val="99"/>
    <w:rsid w:val="002F0449"/>
  </w:style>
  <w:style w:type="character" w:customStyle="1" w:styleId="provProvincialActs">
    <w:name w:val="provProvincialActs"/>
    <w:uiPriority w:val="99"/>
    <w:rsid w:val="002F0449"/>
    <w:rPr>
      <w:vanish/>
    </w:rPr>
  </w:style>
  <w:style w:type="character" w:customStyle="1" w:styleId="Regulations">
    <w:name w:val="Regulations"/>
    <w:uiPriority w:val="99"/>
    <w:rsid w:val="002F0449"/>
    <w:rPr>
      <w:color w:val="008080"/>
    </w:rPr>
  </w:style>
  <w:style w:type="character" w:customStyle="1" w:styleId="RelatedLegislation">
    <w:name w:val="RelatedLegislation"/>
    <w:uiPriority w:val="99"/>
    <w:rsid w:val="002F0449"/>
  </w:style>
  <w:style w:type="character" w:customStyle="1" w:styleId="RelatedLegislationName">
    <w:name w:val="RelatedLegislationName"/>
    <w:uiPriority w:val="99"/>
    <w:rsid w:val="002F0449"/>
  </w:style>
  <w:style w:type="character" w:customStyle="1" w:styleId="RelatedNotices">
    <w:name w:val="RelatedNotices"/>
    <w:uiPriority w:val="99"/>
    <w:rsid w:val="002F0449"/>
    <w:rPr>
      <w:b/>
      <w:bCs/>
      <w:color w:val="008080"/>
    </w:rPr>
  </w:style>
  <w:style w:type="character" w:customStyle="1" w:styleId="Rules">
    <w:name w:val="Rules"/>
    <w:uiPriority w:val="99"/>
    <w:rsid w:val="002F0449"/>
  </w:style>
  <w:style w:type="character" w:customStyle="1" w:styleId="StandardBylaws">
    <w:name w:val="StandardBylaws"/>
    <w:uiPriority w:val="99"/>
    <w:rsid w:val="002F0449"/>
    <w:rPr>
      <w:b/>
      <w:bCs/>
      <w:color w:val="008080"/>
    </w:rPr>
  </w:style>
  <w:style w:type="paragraph" w:styleId="Header">
    <w:name w:val="header"/>
    <w:basedOn w:val="Normal"/>
    <w:link w:val="HeaderChar"/>
    <w:uiPriority w:val="99"/>
    <w:semiHidden/>
    <w:unhideWhenUsed/>
    <w:rsid w:val="00CC59E6"/>
    <w:pPr>
      <w:tabs>
        <w:tab w:val="center" w:pos="4513"/>
        <w:tab w:val="right" w:pos="9026"/>
      </w:tabs>
    </w:pPr>
  </w:style>
  <w:style w:type="character" w:customStyle="1" w:styleId="HeaderChar">
    <w:name w:val="Header Char"/>
    <w:basedOn w:val="DefaultParagraphFont"/>
    <w:link w:val="Header"/>
    <w:uiPriority w:val="99"/>
    <w:semiHidden/>
    <w:rsid w:val="00CC59E6"/>
    <w:rPr>
      <w:rFonts w:ascii="Verdana" w:hAnsi="Verdana"/>
      <w:color w:val="000000"/>
      <w:sz w:val="18"/>
      <w:szCs w:val="18"/>
    </w:rPr>
  </w:style>
  <w:style w:type="paragraph" w:styleId="Footer">
    <w:name w:val="footer"/>
    <w:basedOn w:val="Normal"/>
    <w:link w:val="FooterChar"/>
    <w:uiPriority w:val="99"/>
    <w:semiHidden/>
    <w:unhideWhenUsed/>
    <w:rsid w:val="00CC59E6"/>
    <w:pPr>
      <w:tabs>
        <w:tab w:val="center" w:pos="4513"/>
        <w:tab w:val="right" w:pos="9026"/>
      </w:tabs>
    </w:pPr>
  </w:style>
  <w:style w:type="character" w:customStyle="1" w:styleId="FooterChar">
    <w:name w:val="Footer Char"/>
    <w:basedOn w:val="DefaultParagraphFont"/>
    <w:link w:val="Footer"/>
    <w:uiPriority w:val="99"/>
    <w:semiHidden/>
    <w:rsid w:val="00CC59E6"/>
    <w:rPr>
      <w:rFonts w:ascii="Verdana" w:hAnsi="Verdana"/>
      <w:color w:val="000000"/>
      <w:sz w:val="18"/>
      <w:szCs w:val="18"/>
    </w:rPr>
  </w:style>
  <w:style w:type="paragraph" w:styleId="FootnoteText">
    <w:name w:val="footnote text"/>
    <w:basedOn w:val="Normal"/>
    <w:link w:val="FootnoteTextChar"/>
    <w:uiPriority w:val="99"/>
    <w:semiHidden/>
    <w:unhideWhenUsed/>
    <w:rsid w:val="00AB08E4"/>
    <w:rPr>
      <w:sz w:val="20"/>
      <w:szCs w:val="20"/>
    </w:rPr>
  </w:style>
  <w:style w:type="character" w:customStyle="1" w:styleId="FootnoteTextChar">
    <w:name w:val="Footnote Text Char"/>
    <w:basedOn w:val="DefaultParagraphFont"/>
    <w:link w:val="FootnoteText"/>
    <w:uiPriority w:val="99"/>
    <w:semiHidden/>
    <w:rsid w:val="00AB08E4"/>
    <w:rPr>
      <w:rFonts w:ascii="Verdana" w:hAnsi="Verdana"/>
      <w:color w:val="000000"/>
      <w:sz w:val="20"/>
      <w:szCs w:val="20"/>
    </w:rPr>
  </w:style>
  <w:style w:type="character" w:styleId="FootnoteReference">
    <w:name w:val="footnote reference"/>
    <w:basedOn w:val="DefaultParagraphFont"/>
    <w:uiPriority w:val="99"/>
    <w:semiHidden/>
    <w:unhideWhenUsed/>
    <w:rsid w:val="00AB08E4"/>
    <w:rPr>
      <w:vertAlign w:val="superscript"/>
    </w:rPr>
  </w:style>
  <w:style w:type="paragraph" w:styleId="EndnoteText">
    <w:name w:val="endnote text"/>
    <w:basedOn w:val="Normal"/>
    <w:link w:val="EndnoteTextChar"/>
    <w:uiPriority w:val="99"/>
    <w:semiHidden/>
    <w:unhideWhenUsed/>
    <w:rsid w:val="009D3DAB"/>
    <w:rPr>
      <w:sz w:val="20"/>
      <w:szCs w:val="20"/>
    </w:rPr>
  </w:style>
  <w:style w:type="character" w:customStyle="1" w:styleId="EndnoteTextChar">
    <w:name w:val="Endnote Text Char"/>
    <w:basedOn w:val="DefaultParagraphFont"/>
    <w:link w:val="EndnoteText"/>
    <w:uiPriority w:val="99"/>
    <w:semiHidden/>
    <w:rsid w:val="009D3DAB"/>
    <w:rPr>
      <w:rFonts w:ascii="Verdana" w:hAnsi="Verdana"/>
      <w:color w:val="000000"/>
      <w:sz w:val="20"/>
      <w:szCs w:val="20"/>
    </w:rPr>
  </w:style>
  <w:style w:type="character" w:styleId="EndnoteReference">
    <w:name w:val="endnote reference"/>
    <w:basedOn w:val="DefaultParagraphFont"/>
    <w:uiPriority w:val="99"/>
    <w:semiHidden/>
    <w:unhideWhenUsed/>
    <w:rsid w:val="009D3D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8D37-DFCE-4ECB-82BD-7518D091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4339</Words>
  <Characters>21987</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The South African Law Reports (1947 to date)</vt:lpstr>
    </vt:vector>
  </TitlesOfParts>
  <Company/>
  <LinksUpToDate>false</LinksUpToDate>
  <CharactersWithSpaces>26274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South African Law Reports (1947 to date)</dc:title>
  <dc:subject>South African Law Reports 1947 to date</dc:subject>
  <dc:creator>Juta &amp; Company Ltd</dc:creator>
  <cp:keywords/>
  <dc:description>For further information please contact Juta Law (Pty) Ltd. Telephone: Cape Town 0861 025 025, Johannesburg (011) 217 7200. CD queries can be e-mailed to : lawsupport@juta.co.za.</dc:description>
  <cp:lastModifiedBy>Your User Name</cp:lastModifiedBy>
  <cp:revision>3</cp:revision>
  <dcterms:created xsi:type="dcterms:W3CDTF">2011-11-01T12:20:00Z</dcterms:created>
  <dcterms:modified xsi:type="dcterms:W3CDTF">2011-11-01T12:22:00Z</dcterms:modified>
</cp:coreProperties>
</file>